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39C27402"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7014E6">
        <w:rPr>
          <w:rFonts w:ascii="Arial" w:hAnsi="Arial" w:cs="Arial"/>
          <w:b/>
          <w:bCs/>
          <w:sz w:val="22"/>
        </w:rPr>
        <w:t>8</w:t>
      </w:r>
      <w:r w:rsidR="008838EF">
        <w:rPr>
          <w:rFonts w:ascii="Arial" w:hAnsi="Arial" w:cs="Arial"/>
          <w:b/>
          <w:bCs/>
          <w:sz w:val="22"/>
        </w:rPr>
        <w:t>3</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7014E6">
        <w:rPr>
          <w:rFonts w:ascii="Arial" w:hAnsi="Arial" w:cs="Arial"/>
          <w:b/>
          <w:bCs/>
          <w:sz w:val="22"/>
        </w:rPr>
        <w:t>P</w:t>
      </w:r>
      <w:r w:rsidR="00E56774">
        <w:rPr>
          <w:rFonts w:ascii="Arial" w:hAnsi="Arial" w:cs="Arial"/>
          <w:b/>
          <w:bCs/>
          <w:sz w:val="22"/>
        </w:rPr>
        <w:t>-1</w:t>
      </w:r>
      <w:r w:rsidR="008838EF">
        <w:rPr>
          <w:rFonts w:ascii="Arial" w:hAnsi="Arial" w:cs="Arial"/>
          <w:b/>
          <w:bCs/>
          <w:sz w:val="22"/>
        </w:rPr>
        <w:t>9</w:t>
      </w:r>
      <w:r w:rsidR="00F75BF0">
        <w:rPr>
          <w:rFonts w:ascii="Arial" w:hAnsi="Arial" w:cs="Arial"/>
          <w:b/>
          <w:bCs/>
          <w:sz w:val="22"/>
        </w:rPr>
        <w:t>0192</w:t>
      </w:r>
    </w:p>
    <w:p w14:paraId="0351D878" w14:textId="3B8B890F" w:rsidR="0066434B" w:rsidRPr="00341F45" w:rsidRDefault="008838EF" w:rsidP="00341F45">
      <w:pPr>
        <w:tabs>
          <w:tab w:val="left" w:pos="1985"/>
          <w:tab w:val="right" w:pos="9422"/>
        </w:tabs>
        <w:spacing w:after="0"/>
        <w:jc w:val="both"/>
        <w:rPr>
          <w:rFonts w:ascii="Arial" w:hAnsi="Arial" w:cs="Arial"/>
          <w:b/>
          <w:bCs/>
          <w:sz w:val="22"/>
        </w:rPr>
      </w:pPr>
      <w:r>
        <w:rPr>
          <w:rFonts w:ascii="Arial" w:hAnsi="Arial" w:cs="Arial"/>
          <w:b/>
          <w:bCs/>
          <w:sz w:val="22"/>
        </w:rPr>
        <w:t>Shenzhen</w:t>
      </w:r>
      <w:r w:rsidR="007014E6">
        <w:rPr>
          <w:rFonts w:ascii="Arial" w:hAnsi="Arial" w:cs="Arial"/>
          <w:b/>
          <w:bCs/>
          <w:sz w:val="22"/>
        </w:rPr>
        <w:t xml:space="preserve">, </w:t>
      </w:r>
      <w:r>
        <w:rPr>
          <w:rFonts w:ascii="Arial" w:hAnsi="Arial" w:cs="Arial"/>
          <w:b/>
          <w:bCs/>
          <w:sz w:val="22"/>
        </w:rPr>
        <w:t>China</w:t>
      </w:r>
      <w:r w:rsidR="00341F45" w:rsidRPr="00A27B82">
        <w:rPr>
          <w:rFonts w:ascii="Arial" w:hAnsi="Arial" w:cs="Arial"/>
          <w:b/>
          <w:bCs/>
          <w:sz w:val="22"/>
        </w:rPr>
        <w:t xml:space="preserve">, </w:t>
      </w:r>
      <w:r>
        <w:rPr>
          <w:rFonts w:ascii="Arial" w:hAnsi="Arial" w:cs="Arial"/>
          <w:b/>
          <w:bCs/>
          <w:sz w:val="22"/>
        </w:rPr>
        <w:t>March</w:t>
      </w:r>
      <w:r w:rsidR="00341F45" w:rsidRPr="00A27B82">
        <w:rPr>
          <w:rFonts w:ascii="Arial" w:hAnsi="Arial" w:cs="Arial"/>
          <w:b/>
          <w:bCs/>
          <w:sz w:val="22"/>
        </w:rPr>
        <w:t xml:space="preserve"> </w:t>
      </w:r>
      <w:r w:rsidR="007014E6">
        <w:rPr>
          <w:rFonts w:ascii="Arial" w:hAnsi="Arial" w:cs="Arial"/>
          <w:b/>
          <w:bCs/>
          <w:sz w:val="22"/>
        </w:rPr>
        <w:t>1</w:t>
      </w:r>
      <w:r>
        <w:rPr>
          <w:rFonts w:ascii="Arial" w:hAnsi="Arial" w:cs="Arial"/>
          <w:b/>
          <w:bCs/>
          <w:sz w:val="22"/>
        </w:rPr>
        <w:t>8</w:t>
      </w:r>
      <w:r>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21</w:t>
      </w:r>
      <w:r>
        <w:rPr>
          <w:rFonts w:ascii="Arial" w:hAnsi="Arial" w:cs="Arial"/>
          <w:b/>
          <w:bCs/>
          <w:sz w:val="22"/>
          <w:vertAlign w:val="superscript"/>
        </w:rPr>
        <w:t>st</w:t>
      </w:r>
      <w:r w:rsidR="00341F45" w:rsidRPr="00A27B82">
        <w:rPr>
          <w:rFonts w:ascii="Arial" w:hAnsi="Arial" w:cs="Arial"/>
          <w:b/>
          <w:bCs/>
          <w:sz w:val="22"/>
        </w:rPr>
        <w:t>, 201</w:t>
      </w:r>
      <w:r>
        <w:rPr>
          <w:rFonts w:ascii="Arial" w:hAnsi="Arial" w:cs="Arial"/>
          <w:b/>
          <w:bCs/>
          <w:sz w:val="22"/>
        </w:rPr>
        <w:t>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6B49532A"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016A67">
        <w:rPr>
          <w:rFonts w:ascii="Arial" w:hAnsi="Arial"/>
          <w:sz w:val="22"/>
        </w:rPr>
        <w:t>1.2</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44BADF8E"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016A67" w:rsidRPr="00016A67">
        <w:rPr>
          <w:rFonts w:ascii="Arial" w:hAnsi="Arial"/>
          <w:sz w:val="22"/>
        </w:rPr>
        <w:t>Considerations on the scope of WI on support of NR Industrial Internet of Things (IoT)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1EB370D4" w:rsidR="005F4BCC" w:rsidRPr="005F4BCC" w:rsidRDefault="003D0048" w:rsidP="008B01BF">
      <w:pPr>
        <w:spacing w:after="0"/>
        <w:jc w:val="both"/>
        <w:rPr>
          <w:b/>
          <w:lang w:val="en-US"/>
        </w:rPr>
      </w:pPr>
      <w:r>
        <w:rPr>
          <w:bCs/>
        </w:rPr>
        <w:t xml:space="preserve">The study on NR Industrial IoT was </w:t>
      </w:r>
      <w:r w:rsidR="008B01BF">
        <w:rPr>
          <w:bCs/>
        </w:rPr>
        <w:t>finalized</w:t>
      </w:r>
      <w:r>
        <w:rPr>
          <w:bCs/>
        </w:rPr>
        <w:t xml:space="preserve"> during RAN WG</w:t>
      </w:r>
      <w:r w:rsidR="008B01BF">
        <w:rPr>
          <w:bCs/>
        </w:rPr>
        <w:t>s</w:t>
      </w:r>
      <w:r>
        <w:rPr>
          <w:bCs/>
        </w:rPr>
        <w:t xml:space="preserve"> meetings in February/March 2019. It was concluded that NR enhancements for better support of Industrial IoT use case are required and the related WID is provided in [</w:t>
      </w:r>
      <w:r w:rsidR="008B01BF">
        <w:rPr>
          <w:bCs/>
        </w:rPr>
        <w:t xml:space="preserve">1]. There are however some remaining points with respect to the scope of the NR </w:t>
      </w:r>
      <w:proofErr w:type="spellStart"/>
      <w:r w:rsidR="008B01BF">
        <w:rPr>
          <w:bCs/>
        </w:rPr>
        <w:t>IIoT</w:t>
      </w:r>
      <w:proofErr w:type="spellEnd"/>
      <w:r w:rsidR="008B01BF">
        <w:rPr>
          <w:bCs/>
        </w:rPr>
        <w:t xml:space="preserve"> WI, which need to be discussed and this contribution aims at resolving those.</w:t>
      </w:r>
    </w:p>
    <w:p w14:paraId="716FF482" w14:textId="73BD239B" w:rsidR="005F4BCC" w:rsidRPr="005F4BCC" w:rsidRDefault="005F4BCC" w:rsidP="005F4BCC">
      <w:pPr>
        <w:spacing w:after="0"/>
        <w:jc w:val="both"/>
        <w:rPr>
          <w:lang w:eastAsia="zh-CN"/>
        </w:rPr>
      </w:pPr>
    </w:p>
    <w:p w14:paraId="3A4FB463" w14:textId="60B61756" w:rsidR="00CB16FB" w:rsidRPr="00DD3C8B" w:rsidRDefault="00016A67" w:rsidP="005F4BCC">
      <w:pPr>
        <w:pStyle w:val="Heading1"/>
        <w:rPr>
          <w:rFonts w:cs="Arial"/>
        </w:rPr>
      </w:pPr>
      <w:r>
        <w:t>Ethernet header compression</w:t>
      </w:r>
    </w:p>
    <w:p w14:paraId="0DF3D401" w14:textId="01E7137F" w:rsidR="00A14169" w:rsidRDefault="00A14169" w:rsidP="00A14169">
      <w:r>
        <w:t xml:space="preserve">Ethernet header compression was discussed by RAN2 as part of the study on NR support Industrial IoT. It was concluded that such mechanism is beneficial for </w:t>
      </w:r>
      <w:proofErr w:type="spellStart"/>
      <w:r>
        <w:t>IIoT</w:t>
      </w:r>
      <w:proofErr w:type="spellEnd"/>
      <w:r>
        <w:t xml:space="preserve"> use case, but RAN2 could not conclude on which of the approaches to specify in WI phase. There are three candidate solutions:</w:t>
      </w:r>
    </w:p>
    <w:p w14:paraId="18E3AEE7" w14:textId="17F47658" w:rsidR="00A14169" w:rsidRDefault="00A14169" w:rsidP="00A14169">
      <w:pPr>
        <w:pStyle w:val="ListParagraph"/>
        <w:numPr>
          <w:ilvl w:val="0"/>
          <w:numId w:val="16"/>
        </w:numPr>
      </w:pPr>
      <w:r>
        <w:t xml:space="preserve">Structure aware compression reusing </w:t>
      </w:r>
      <w:proofErr w:type="spellStart"/>
      <w:r>
        <w:t>RoHC</w:t>
      </w:r>
      <w:proofErr w:type="spellEnd"/>
      <w:r>
        <w:t xml:space="preserve"> algorithm by specifying new </w:t>
      </w:r>
      <w:proofErr w:type="spellStart"/>
      <w:r>
        <w:t>RoHC</w:t>
      </w:r>
      <w:proofErr w:type="spellEnd"/>
      <w:r>
        <w:t xml:space="preserve"> profile for Ethernet header.</w:t>
      </w:r>
    </w:p>
    <w:p w14:paraId="69DF9B37" w14:textId="628C3222" w:rsidR="00A14169" w:rsidRDefault="00A14169" w:rsidP="00A14169">
      <w:pPr>
        <w:pStyle w:val="ListParagraph"/>
        <w:numPr>
          <w:ilvl w:val="0"/>
          <w:numId w:val="16"/>
        </w:numPr>
      </w:pPr>
      <w:r>
        <w:t>Structure aware compression by specifying a new algorithm for Ethernet header compression.</w:t>
      </w:r>
    </w:p>
    <w:p w14:paraId="42373571" w14:textId="6DAA4631" w:rsidR="00A14169" w:rsidRDefault="00A14169" w:rsidP="00A14169">
      <w:pPr>
        <w:pStyle w:val="ListParagraph"/>
        <w:numPr>
          <w:ilvl w:val="0"/>
          <w:numId w:val="16"/>
        </w:numPr>
      </w:pPr>
      <w:r>
        <w:t xml:space="preserve">Structure agnostic approach based on Uplink Data Compression </w:t>
      </w:r>
      <w:r w:rsidR="00133CC3">
        <w:t>mechanism using DEFLATE algorithm</w:t>
      </w:r>
      <w:r>
        <w:t>.</w:t>
      </w:r>
    </w:p>
    <w:p w14:paraId="66EB8152" w14:textId="015810BF" w:rsidR="00A14169" w:rsidRDefault="00133CC3" w:rsidP="00A14169">
      <w:r>
        <w:t xml:space="preserve">The indicative show of hands during RAN2#105 meeting showed that significant majority supports structure-aware approach (i.e. either option 1 or 2 above). There were concerns raised about DEFLATE algorithm’s capability to operate in RLC Unacknowledged Mode. DEFLATE algorithm relies on information about the previous packet to re-build the next arriving compressed packet. Therefore, in case of a single packet loss, it is almost certain that several subsequent packets will also be lost. For that reason, DEFLATE is normally applied to transmission modes which can ensure successful packet delivery via retransmissions. However, in </w:t>
      </w:r>
      <w:proofErr w:type="spellStart"/>
      <w:r>
        <w:t>IIoT</w:t>
      </w:r>
      <w:proofErr w:type="spellEnd"/>
      <w:r>
        <w:t xml:space="preserve"> use case which require very low latency, such transmission modes are not applicable. What is more, in TSN use case, in case several packets are lost in a row this may lead to exceeding so called survival time of the application and subsequently to an outage of the TSN system. To avoid that, NR system would have to operate with even more challenging reliability and BLER targets.</w:t>
      </w:r>
    </w:p>
    <w:p w14:paraId="2A8731DA" w14:textId="48FE6166" w:rsidR="00133CC3" w:rsidRDefault="00133CC3" w:rsidP="00A14169">
      <w:pPr>
        <w:rPr>
          <w:b/>
        </w:rPr>
      </w:pPr>
      <w:r>
        <w:rPr>
          <w:b/>
        </w:rPr>
        <w:t>Observation</w:t>
      </w:r>
      <w:r w:rsidR="00637F04">
        <w:rPr>
          <w:b/>
        </w:rPr>
        <w:t xml:space="preserve"> 1</w:t>
      </w:r>
      <w:r>
        <w:rPr>
          <w:b/>
        </w:rPr>
        <w:t xml:space="preserve">: </w:t>
      </w:r>
      <w:r w:rsidR="002E2017">
        <w:rPr>
          <w:b/>
        </w:rPr>
        <w:t>Structure agnostic compression algorithms cannot efficiently support Industrial IoT use cases and will decrease 5G system’s capability to meet Industrial IoT applications’ reliability requirements.</w:t>
      </w:r>
    </w:p>
    <w:p w14:paraId="2C27AE86" w14:textId="1F65B35F" w:rsidR="002E2017" w:rsidRPr="00133CC3" w:rsidRDefault="002E2017" w:rsidP="00A14169">
      <w:pPr>
        <w:rPr>
          <w:b/>
        </w:rPr>
      </w:pPr>
      <w:r>
        <w:rPr>
          <w:b/>
        </w:rPr>
        <w:t>Proposal</w:t>
      </w:r>
      <w:r w:rsidR="00637F04">
        <w:rPr>
          <w:b/>
        </w:rPr>
        <w:t xml:space="preserve"> 1</w:t>
      </w:r>
      <w:r>
        <w:rPr>
          <w:b/>
        </w:rPr>
        <w:t xml:space="preserve">: NR </w:t>
      </w:r>
      <w:proofErr w:type="spellStart"/>
      <w:r>
        <w:rPr>
          <w:b/>
        </w:rPr>
        <w:t>IIoT</w:t>
      </w:r>
      <w:proofErr w:type="spellEnd"/>
      <w:r>
        <w:rPr>
          <w:b/>
        </w:rPr>
        <w:t xml:space="preserve"> WI should specify Ethernet header compression based on structure-aware approach.</w:t>
      </w:r>
    </w:p>
    <w:p w14:paraId="5117BACD" w14:textId="1A78C9D9" w:rsidR="00A14169" w:rsidRPr="00A14169" w:rsidRDefault="00A14169" w:rsidP="00B03A90">
      <w:r w:rsidRPr="00A14169">
        <w:t xml:space="preserve">Among structure-aware algorithms </w:t>
      </w:r>
      <w:r w:rsidR="002E2017">
        <w:t xml:space="preserve">there was a clear majority for </w:t>
      </w:r>
      <w:r w:rsidRPr="00A14169">
        <w:t>specifying new algorithm</w:t>
      </w:r>
      <w:r w:rsidR="002E2017">
        <w:t xml:space="preserve"> from scratch in 3GPP</w:t>
      </w:r>
      <w:r w:rsidR="008D292D">
        <w:t xml:space="preserve"> during indicative show of hands in RAN2</w:t>
      </w:r>
      <w:r w:rsidR="002E2017">
        <w:t>.</w:t>
      </w:r>
      <w:r w:rsidR="008D292D">
        <w:t xml:space="preserve">However, this resulted to a large extent from the fact that some companies were not sure about the formal feasibility of developing new </w:t>
      </w:r>
      <w:proofErr w:type="spellStart"/>
      <w:r w:rsidR="008D292D">
        <w:t>RoHC</w:t>
      </w:r>
      <w:proofErr w:type="spellEnd"/>
      <w:r w:rsidR="008D292D">
        <w:t xml:space="preserve"> profile in 3GPP without having to closely coordinate with IETF. According to us, this is not required and IETF already allows external bodies to specify their own </w:t>
      </w:r>
      <w:proofErr w:type="spellStart"/>
      <w:r w:rsidR="008D292D">
        <w:t>RoHC</w:t>
      </w:r>
      <w:proofErr w:type="spellEnd"/>
      <w:r w:rsidR="008D292D">
        <w:t xml:space="preserve"> profiles. However, to clarify this aspect, </w:t>
      </w:r>
      <w:proofErr w:type="gramStart"/>
      <w:r w:rsidR="008D292D">
        <w:t>an</w:t>
      </w:r>
      <w:proofErr w:type="gramEnd"/>
      <w:r w:rsidR="008D292D">
        <w:t xml:space="preserve"> LS to IETF and IEEE was sent by RAN2 in [</w:t>
      </w:r>
      <w:r w:rsidR="003D0048">
        <w:t>2</w:t>
      </w:r>
      <w:r w:rsidR="008D292D">
        <w:t>].</w:t>
      </w:r>
      <w:r w:rsidR="00B03A90">
        <w:t xml:space="preserve"> We believe that reusing </w:t>
      </w:r>
      <w:proofErr w:type="spellStart"/>
      <w:r w:rsidR="00B03A90">
        <w:t>RoHC</w:t>
      </w:r>
      <w:proofErr w:type="spellEnd"/>
      <w:r w:rsidR="00B03A90">
        <w:t xml:space="preserve"> profile is the most efficient way of supporting Ethernet header compression as it allows minimizing the required workload in RAN2 as well as reusing </w:t>
      </w:r>
      <w:r w:rsidRPr="00A14169">
        <w:t xml:space="preserve">existing </w:t>
      </w:r>
      <w:proofErr w:type="spellStart"/>
      <w:r w:rsidRPr="00A14169">
        <w:t>RoHC</w:t>
      </w:r>
      <w:proofErr w:type="spellEnd"/>
      <w:r w:rsidRPr="00A14169">
        <w:t xml:space="preserve"> implementations </w:t>
      </w:r>
      <w:r w:rsidR="00B03A90">
        <w:t xml:space="preserve">and </w:t>
      </w:r>
      <w:r w:rsidRPr="00A14169">
        <w:t>decreasing cost and TTM of the solution</w:t>
      </w:r>
      <w:r w:rsidR="00B03A90">
        <w:t xml:space="preserve"> in consequence</w:t>
      </w:r>
      <w:r w:rsidRPr="00A14169">
        <w:t>.</w:t>
      </w:r>
      <w:r w:rsidR="00B03A90">
        <w:t xml:space="preserve"> We expect that the new algorithm which is proposed would reuse </w:t>
      </w:r>
      <w:proofErr w:type="spellStart"/>
      <w:r w:rsidR="00B03A90">
        <w:t>RoHC</w:t>
      </w:r>
      <w:proofErr w:type="spellEnd"/>
      <w:r w:rsidR="00B03A90">
        <w:t xml:space="preserve"> principles to a large extent, so something </w:t>
      </w:r>
      <w:proofErr w:type="gramStart"/>
      <w:r w:rsidR="00B03A90">
        <w:t>similar to</w:t>
      </w:r>
      <w:proofErr w:type="gramEnd"/>
      <w:r w:rsidR="00B03A90">
        <w:t xml:space="preserve"> </w:t>
      </w:r>
      <w:proofErr w:type="spellStart"/>
      <w:r w:rsidR="00B03A90">
        <w:t>RoHC</w:t>
      </w:r>
      <w:proofErr w:type="spellEnd"/>
      <w:r w:rsidR="00B03A90">
        <w:t xml:space="preserve"> profile would have to be developed. Thus, t</w:t>
      </w:r>
      <w:r w:rsidRPr="00A14169">
        <w:t xml:space="preserve">here is a common work to be done for both </w:t>
      </w:r>
      <w:proofErr w:type="spellStart"/>
      <w:r w:rsidRPr="00A14169">
        <w:t>RoHC</w:t>
      </w:r>
      <w:proofErr w:type="spellEnd"/>
      <w:r w:rsidRPr="00A14169">
        <w:t xml:space="preserve"> based and new Ethernet header compression algorithm</w:t>
      </w:r>
      <w:r w:rsidR="00B03A90">
        <w:t>. That means that i</w:t>
      </w:r>
      <w:r w:rsidRPr="00A14169">
        <w:t xml:space="preserve">nitial work </w:t>
      </w:r>
      <w:r w:rsidR="00B03A90">
        <w:t xml:space="preserve">on structure aware compression algorithm can be started already while the decision on whether it should be based on </w:t>
      </w:r>
      <w:proofErr w:type="spellStart"/>
      <w:r w:rsidR="00B03A90">
        <w:t>RoHC</w:t>
      </w:r>
      <w:proofErr w:type="spellEnd"/>
      <w:r w:rsidR="00B03A90">
        <w:t xml:space="preserve"> or based on a new algorithm can be made after receiving IETF and IEEE replies.</w:t>
      </w:r>
    </w:p>
    <w:p w14:paraId="19F7C372" w14:textId="227547A2" w:rsidR="00BD3480" w:rsidRPr="00B03A90" w:rsidRDefault="00B03A90" w:rsidP="005F4BCC">
      <w:pPr>
        <w:spacing w:after="0"/>
        <w:rPr>
          <w:b/>
          <w:lang w:val="en-US"/>
        </w:rPr>
      </w:pPr>
      <w:r>
        <w:rPr>
          <w:b/>
        </w:rPr>
        <w:t>Proposal</w:t>
      </w:r>
      <w:r w:rsidR="00637F04">
        <w:rPr>
          <w:b/>
        </w:rPr>
        <w:t xml:space="preserve"> 2:</w:t>
      </w:r>
      <w:r>
        <w:rPr>
          <w:b/>
        </w:rPr>
        <w:t xml:space="preserve"> The decision on whether to reuse </w:t>
      </w:r>
      <w:proofErr w:type="spellStart"/>
      <w:r>
        <w:rPr>
          <w:b/>
        </w:rPr>
        <w:t>RoHC</w:t>
      </w:r>
      <w:proofErr w:type="spellEnd"/>
      <w:r>
        <w:rPr>
          <w:b/>
        </w:rPr>
        <w:t xml:space="preserve"> or develop a new algorithm can be made after receiving the reply from IETF and IEE.</w:t>
      </w:r>
    </w:p>
    <w:p w14:paraId="5A146A27" w14:textId="5C17C1B8" w:rsidR="00016A67" w:rsidRPr="00DD3C8B" w:rsidRDefault="7C42FD84" w:rsidP="00016A67">
      <w:pPr>
        <w:pStyle w:val="Heading1"/>
        <w:rPr>
          <w:rFonts w:cs="Arial"/>
        </w:rPr>
      </w:pPr>
      <w:r>
        <w:lastRenderedPageBreak/>
        <w:t>NPN and CAG</w:t>
      </w:r>
    </w:p>
    <w:p w14:paraId="3382F8E5" w14:textId="3FB1D2DD" w:rsidR="7C42FD84" w:rsidRPr="006855E8" w:rsidRDefault="7C42FD84">
      <w:r w:rsidRPr="006855E8">
        <w:rPr>
          <w:rFonts w:eastAsia="Times New Roman"/>
        </w:rPr>
        <w:t>Related LS were exchanged below, thus TSG RAN must provide some guidance to RAN2 and RAN3 regarding how to work on NPN in Rel16.</w:t>
      </w:r>
    </w:p>
    <w:p w14:paraId="163284B0" w14:textId="1CDC410F" w:rsidR="7C42FD84" w:rsidRPr="006855E8" w:rsidRDefault="7C42FD84">
      <w:r w:rsidRPr="006855E8">
        <w:rPr>
          <w:rFonts w:eastAsia="Times New Roman"/>
        </w:rPr>
        <w:t>S2-1813393:</w:t>
      </w:r>
    </w:p>
    <w:p w14:paraId="51147929" w14:textId="6F1CBFF2" w:rsidR="7C42FD84" w:rsidRPr="006855E8" w:rsidRDefault="7C42FD84" w:rsidP="7C42FD84">
      <w:pPr>
        <w:ind w:left="1298"/>
      </w:pPr>
      <w:r w:rsidRPr="006855E8">
        <w:rPr>
          <w:rFonts w:eastAsia="Times New Roman"/>
          <w:i/>
          <w:iCs/>
        </w:rPr>
        <w:t>SA2 has been studying support of Vertical and LAN Services (</w:t>
      </w:r>
      <w:proofErr w:type="spellStart"/>
      <w:r w:rsidRPr="006855E8">
        <w:rPr>
          <w:rFonts w:eastAsia="Times New Roman"/>
          <w:i/>
          <w:iCs/>
        </w:rPr>
        <w:t>FS_Vertical_LAN</w:t>
      </w:r>
      <w:proofErr w:type="spellEnd"/>
      <w:r w:rsidRPr="006855E8">
        <w:rPr>
          <w:rFonts w:eastAsia="Times New Roman"/>
          <w:i/>
          <w:iCs/>
        </w:rPr>
        <w:t xml:space="preserve">) for Release 16. One objective of this study is to identify 5GS enhancements to support non-public networks (NPN). SA2 has concluded to select solutions #1 and #2 from TR 23.734 to enable non-public networks. </w:t>
      </w:r>
    </w:p>
    <w:p w14:paraId="0AF6362B" w14:textId="312D2877" w:rsidR="7C42FD84" w:rsidRPr="006855E8" w:rsidRDefault="7C42FD84" w:rsidP="7C42FD84">
      <w:pPr>
        <w:ind w:left="1298"/>
      </w:pPr>
      <w:r w:rsidRPr="006855E8">
        <w:rPr>
          <w:rFonts w:eastAsia="Times New Roman"/>
          <w:i/>
          <w:iCs/>
        </w:rPr>
        <w:t>SA2 would like to inform RAN working groups that SA2 has agreed a work item to specify the functionality of solution #1 and #2 that have impact to RAN2 and RAN3 specifications. SA2 would therefore like to request RAN working groups to take this into account and specify the related RAN functionality.</w:t>
      </w:r>
    </w:p>
    <w:p w14:paraId="67E3A1DE" w14:textId="30B5B2CA" w:rsidR="7C42FD84" w:rsidRPr="006855E8" w:rsidRDefault="7C42FD84">
      <w:r w:rsidRPr="006855E8">
        <w:rPr>
          <w:rFonts w:eastAsia="Times New Roman"/>
        </w:rPr>
        <w:t>R3-191101:</w:t>
      </w:r>
    </w:p>
    <w:p w14:paraId="51845444" w14:textId="261A88BB" w:rsidR="7C42FD84" w:rsidRPr="006855E8" w:rsidRDefault="7C42FD84" w:rsidP="7C42FD84">
      <w:pPr>
        <w:ind w:left="1298"/>
      </w:pPr>
      <w:r w:rsidRPr="006855E8">
        <w:rPr>
          <w:rFonts w:eastAsia="Times New Roman"/>
          <w:i/>
          <w:iCs/>
        </w:rPr>
        <w:t>RAN3 thanks SA2 for the LS on RAN impact analysis of NPN.</w:t>
      </w:r>
    </w:p>
    <w:p w14:paraId="48C507D9" w14:textId="6CC3B3B8" w:rsidR="7C42FD84" w:rsidRPr="006855E8" w:rsidRDefault="7C42FD84" w:rsidP="7C42FD84">
      <w:pPr>
        <w:ind w:left="1298"/>
      </w:pPr>
      <w:r w:rsidRPr="006855E8">
        <w:rPr>
          <w:rFonts w:eastAsia="Times New Roman"/>
          <w:i/>
          <w:iCs/>
        </w:rPr>
        <w:t xml:space="preserve">RAN3 started to discuss RAN impact of NPN based on TR 23.734 and recently endorsed draft SA2 CRs. </w:t>
      </w:r>
    </w:p>
    <w:p w14:paraId="22A6D18C" w14:textId="209C9360" w:rsidR="7C42FD84" w:rsidRPr="006855E8" w:rsidRDefault="7C42FD84" w:rsidP="7C42FD84">
      <w:pPr>
        <w:ind w:left="1298"/>
      </w:pPr>
      <w:r w:rsidRPr="006855E8">
        <w:rPr>
          <w:rFonts w:eastAsia="Times New Roman"/>
          <w:i/>
          <w:iCs/>
          <w:highlight w:val="yellow"/>
        </w:rPr>
        <w:t>RAN3 expects TSG RAN to clarify the work plan for continuing respective work in RAN WGs.</w:t>
      </w:r>
    </w:p>
    <w:p w14:paraId="7425213D" w14:textId="6D33DB68" w:rsidR="7C42FD84" w:rsidRPr="006855E8" w:rsidRDefault="7C42FD84">
      <w:r w:rsidRPr="006855E8">
        <w:rPr>
          <w:rFonts w:eastAsia="Times New Roman"/>
        </w:rPr>
        <w:t>R2-1902716:</w:t>
      </w:r>
    </w:p>
    <w:p w14:paraId="1E4389C3" w14:textId="1F051A1A" w:rsidR="7C42FD84" w:rsidRPr="006855E8" w:rsidRDefault="7C42FD84" w:rsidP="7C42FD84">
      <w:pPr>
        <w:ind w:left="1298"/>
      </w:pPr>
      <w:r w:rsidRPr="006855E8">
        <w:rPr>
          <w:rFonts w:eastAsia="Times New Roman"/>
          <w:i/>
          <w:iCs/>
        </w:rPr>
        <w:t>RAN2 has discussed the SA2 LS R2-1900072/S2-1813393 on NPN and concluded that there are RAN2 impacts to support NPN.</w:t>
      </w:r>
    </w:p>
    <w:p w14:paraId="1C745166" w14:textId="2F94C699" w:rsidR="7C42FD84" w:rsidRPr="006855E8" w:rsidRDefault="7C42FD84" w:rsidP="7C42FD84">
      <w:pPr>
        <w:ind w:left="1298"/>
      </w:pPr>
      <w:r w:rsidRPr="006855E8">
        <w:rPr>
          <w:rFonts w:eastAsia="Times New Roman"/>
          <w:i/>
          <w:iCs/>
          <w:highlight w:val="yellow"/>
        </w:rPr>
        <w:t>RAN2 assumes that NPN should be supported by RAN in Rel-16. However, given that NPN is not within the scope of any existing RAN2 SI/WI, 3GPP RAN is requested to further discuss how to support this feature.</w:t>
      </w:r>
    </w:p>
    <w:p w14:paraId="6CA8C9DD" w14:textId="166E7E15" w:rsidR="7C42FD84" w:rsidRPr="006855E8" w:rsidRDefault="7C42FD84">
      <w:r w:rsidRPr="006855E8">
        <w:rPr>
          <w:rFonts w:eastAsia="Times New Roman"/>
        </w:rPr>
        <w:t>The above LS exchanges clearly require RAN guidance. There are some considerations as explained below.</w:t>
      </w:r>
    </w:p>
    <w:p w14:paraId="479AB114" w14:textId="4433093C" w:rsidR="7C42FD84" w:rsidRPr="006855E8" w:rsidRDefault="7C42FD84" w:rsidP="7C42FD84">
      <w:pPr>
        <w:pStyle w:val="ListParagraph"/>
        <w:numPr>
          <w:ilvl w:val="0"/>
          <w:numId w:val="2"/>
        </w:numPr>
        <w:rPr>
          <w:color w:val="000000" w:themeColor="text1"/>
        </w:rPr>
      </w:pPr>
      <w:r w:rsidRPr="006855E8">
        <w:rPr>
          <w:rFonts w:eastAsia="Times New Roman"/>
        </w:rPr>
        <w:t xml:space="preserve">Support of TSC, NPN (Non-public networks) and CAG (Closed access group) is being developed as one package in SA2/SA3/CT (5GS Enhanced support of Vertical and LAN Services). </w:t>
      </w:r>
    </w:p>
    <w:p w14:paraId="2B9BC624" w14:textId="5B8178A2" w:rsidR="7C42FD84" w:rsidRPr="006855E8" w:rsidRDefault="7C42FD84" w:rsidP="7C42FD84">
      <w:pPr>
        <w:pStyle w:val="ListParagraph"/>
        <w:numPr>
          <w:ilvl w:val="0"/>
          <w:numId w:val="2"/>
        </w:numPr>
        <w:rPr>
          <w:color w:val="000000" w:themeColor="text1"/>
        </w:rPr>
      </w:pPr>
      <w:r w:rsidRPr="006855E8">
        <w:rPr>
          <w:rFonts w:eastAsia="Times New Roman"/>
        </w:rPr>
        <w:t>From RAN2 perspective, NPN and CAG are very similar features (e.g. support of additional information in SIB), so feature interaction needs to be considered.</w:t>
      </w:r>
    </w:p>
    <w:p w14:paraId="34F56913" w14:textId="709B106B" w:rsidR="7C42FD84" w:rsidRPr="006855E8" w:rsidRDefault="7C42FD84" w:rsidP="7C42FD84">
      <w:pPr>
        <w:pStyle w:val="ListParagraph"/>
        <w:numPr>
          <w:ilvl w:val="0"/>
          <w:numId w:val="2"/>
        </w:numPr>
        <w:rPr>
          <w:color w:val="000000" w:themeColor="text1"/>
        </w:rPr>
      </w:pPr>
      <w:r w:rsidRPr="006855E8">
        <w:rPr>
          <w:rFonts w:eastAsia="Times New Roman"/>
        </w:rPr>
        <w:t>TSC use cases (e.g. factory automation) are among most probable implementations of isolated networks.</w:t>
      </w:r>
    </w:p>
    <w:p w14:paraId="1F541282" w14:textId="7233DF0F" w:rsidR="7C42FD84" w:rsidRPr="006855E8" w:rsidRDefault="7C42FD84">
      <w:r w:rsidRPr="006855E8">
        <w:rPr>
          <w:rFonts w:eastAsia="Times New Roman"/>
        </w:rPr>
        <w:t>Therefore, we propose to work on NPN and CAG as per the following principle.</w:t>
      </w:r>
    </w:p>
    <w:p w14:paraId="2E391892" w14:textId="6B043362" w:rsidR="7C42FD84" w:rsidRPr="006855E8" w:rsidRDefault="7C42FD84" w:rsidP="7C42FD84">
      <w:pPr>
        <w:pStyle w:val="ListParagraph"/>
        <w:numPr>
          <w:ilvl w:val="0"/>
          <w:numId w:val="1"/>
        </w:numPr>
        <w:rPr>
          <w:color w:val="000000" w:themeColor="text1"/>
        </w:rPr>
      </w:pPr>
      <w:r w:rsidRPr="006855E8">
        <w:rPr>
          <w:rFonts w:eastAsia="Times New Roman"/>
        </w:rPr>
        <w:t>RAN2 should be leading WG because UE is impacted.</w:t>
      </w:r>
    </w:p>
    <w:p w14:paraId="6C0C546F" w14:textId="5A668591" w:rsidR="7C42FD84" w:rsidRPr="006855E8" w:rsidRDefault="7C42FD84" w:rsidP="7C42FD84">
      <w:pPr>
        <w:pStyle w:val="ListParagraph"/>
        <w:numPr>
          <w:ilvl w:val="0"/>
          <w:numId w:val="1"/>
        </w:numPr>
        <w:rPr>
          <w:color w:val="000000" w:themeColor="text1"/>
        </w:rPr>
      </w:pPr>
      <w:r w:rsidRPr="006855E8">
        <w:rPr>
          <w:rFonts w:eastAsia="Times New Roman"/>
        </w:rPr>
        <w:t xml:space="preserve">Both NPN and CAG should be included in the same WID </w:t>
      </w:r>
    </w:p>
    <w:p w14:paraId="4BFF8BDC" w14:textId="11FE4CAE" w:rsidR="7C42FD84" w:rsidRPr="006855E8" w:rsidRDefault="7C42FD84" w:rsidP="7C42FD84">
      <w:pPr>
        <w:pStyle w:val="ListParagraph"/>
        <w:numPr>
          <w:ilvl w:val="0"/>
          <w:numId w:val="1"/>
        </w:numPr>
        <w:rPr>
          <w:color w:val="000000" w:themeColor="text1"/>
        </w:rPr>
      </w:pPr>
      <w:r w:rsidRPr="006855E8">
        <w:rPr>
          <w:rFonts w:eastAsia="Times New Roman"/>
        </w:rPr>
        <w:t xml:space="preserve">The work is tightly related to </w:t>
      </w:r>
      <w:proofErr w:type="spellStart"/>
      <w:r w:rsidRPr="006855E8">
        <w:rPr>
          <w:rFonts w:eastAsia="Times New Roman"/>
        </w:rPr>
        <w:t>IIoT</w:t>
      </w:r>
      <w:proofErr w:type="spellEnd"/>
      <w:r w:rsidRPr="006855E8">
        <w:rPr>
          <w:rFonts w:eastAsia="Times New Roman"/>
        </w:rPr>
        <w:t xml:space="preserve">, thus should be included in </w:t>
      </w:r>
      <w:proofErr w:type="spellStart"/>
      <w:r w:rsidRPr="006855E8">
        <w:rPr>
          <w:rFonts w:eastAsia="Times New Roman"/>
        </w:rPr>
        <w:t>IIoT</w:t>
      </w:r>
      <w:proofErr w:type="spellEnd"/>
      <w:r w:rsidRPr="006855E8">
        <w:rPr>
          <w:rFonts w:eastAsia="Times New Roman"/>
        </w:rPr>
        <w:t xml:space="preserve"> WID in Release 16. </w:t>
      </w:r>
    </w:p>
    <w:p w14:paraId="512A4240" w14:textId="2FF4ECE3" w:rsidR="7C42FD84" w:rsidRPr="006855E8" w:rsidRDefault="7C42FD84" w:rsidP="006855E8">
      <w:pPr>
        <w:jc w:val="both"/>
        <w:rPr>
          <w:b/>
        </w:rPr>
      </w:pPr>
      <w:r w:rsidRPr="006855E8">
        <w:rPr>
          <w:b/>
        </w:rPr>
        <w:t>Proposal</w:t>
      </w:r>
      <w:r w:rsidR="00637F04" w:rsidRPr="006855E8">
        <w:rPr>
          <w:b/>
        </w:rPr>
        <w:t xml:space="preserve"> 3</w:t>
      </w:r>
      <w:r w:rsidRPr="006855E8">
        <w:rPr>
          <w:b/>
        </w:rPr>
        <w:t>: Support NPN and CAG use cases in the</w:t>
      </w:r>
      <w:r w:rsidR="00390A93">
        <w:rPr>
          <w:b/>
        </w:rPr>
        <w:t xml:space="preserve"> NR</w:t>
      </w:r>
      <w:r w:rsidRPr="006855E8">
        <w:rPr>
          <w:b/>
        </w:rPr>
        <w:t xml:space="preserve"> </w:t>
      </w:r>
      <w:proofErr w:type="spellStart"/>
      <w:r w:rsidRPr="006855E8">
        <w:rPr>
          <w:b/>
        </w:rPr>
        <w:t>IIoT</w:t>
      </w:r>
      <w:proofErr w:type="spellEnd"/>
      <w:r w:rsidRPr="006855E8">
        <w:rPr>
          <w:b/>
        </w:rPr>
        <w:t xml:space="preserve"> WID.</w:t>
      </w:r>
    </w:p>
    <w:p w14:paraId="3ECA48DF" w14:textId="5451C7DE" w:rsidR="00016A67" w:rsidRDefault="00016A67" w:rsidP="00016A67">
      <w:pPr>
        <w:pStyle w:val="Heading1"/>
      </w:pPr>
      <w:r>
        <w:t>Intra-UE prioritization and multiplexing</w:t>
      </w:r>
    </w:p>
    <w:p w14:paraId="0105F42A" w14:textId="77777777" w:rsidR="00496BF6" w:rsidRDefault="00496BF6" w:rsidP="00496BF6">
      <w:pPr>
        <w:jc w:val="both"/>
      </w:pPr>
      <w:r>
        <w:t>The study relating to intra-UE prioritization/multiplexing was originally triggered by RAN2, by identifying the five scenarios that should be discussed in the SI phase:</w:t>
      </w:r>
    </w:p>
    <w:p w14:paraId="32B532FB" w14:textId="0BED0DC3" w:rsidR="00496BF6" w:rsidRDefault="00496BF6" w:rsidP="00496BF6">
      <w:r w:rsidRPr="7C42FD84">
        <w:rPr>
          <w:rFonts w:eastAsia="Times New Roman"/>
          <w:sz w:val="22"/>
          <w:szCs w:val="22"/>
        </w:rPr>
        <w:t>R2-1</w:t>
      </w:r>
      <w:r>
        <w:rPr>
          <w:rFonts w:eastAsia="Times New Roman"/>
          <w:sz w:val="22"/>
          <w:szCs w:val="22"/>
        </w:rPr>
        <w:t>818795</w:t>
      </w:r>
      <w:r w:rsidRPr="7C42FD84">
        <w:rPr>
          <w:rFonts w:eastAsia="Times New Roman"/>
          <w:sz w:val="22"/>
          <w:szCs w:val="22"/>
        </w:rPr>
        <w:t>:</w:t>
      </w:r>
    </w:p>
    <w:p w14:paraId="6E9B4A0F" w14:textId="77777777" w:rsidR="00496BF6" w:rsidRPr="00496BF6" w:rsidRDefault="00496BF6" w:rsidP="00496BF6">
      <w:pPr>
        <w:spacing w:after="120"/>
        <w:ind w:left="993"/>
        <w:rPr>
          <w:i/>
          <w:sz w:val="22"/>
        </w:rPr>
      </w:pPr>
      <w:r w:rsidRPr="00496BF6">
        <w:rPr>
          <w:i/>
          <w:sz w:val="22"/>
        </w:rPr>
        <w:t>RAN2 respectfully asks RAN1 to take the above information into account and study solutions for intra-UE traffic prioritization for the following five scenarios:</w:t>
      </w:r>
    </w:p>
    <w:p w14:paraId="567505B4" w14:textId="77777777" w:rsidR="00496BF6" w:rsidRPr="00496BF6" w:rsidRDefault="00496BF6" w:rsidP="00496BF6">
      <w:pPr>
        <w:pStyle w:val="Header"/>
        <w:numPr>
          <w:ilvl w:val="1"/>
          <w:numId w:val="11"/>
        </w:numPr>
        <w:overflowPunct/>
        <w:autoSpaceDE/>
        <w:autoSpaceDN/>
        <w:adjustRightInd/>
        <w:spacing w:after="120"/>
        <w:jc w:val="both"/>
        <w:textAlignment w:val="auto"/>
        <w:rPr>
          <w:i/>
          <w:sz w:val="22"/>
          <w:lang w:val="en-US"/>
        </w:rPr>
      </w:pPr>
      <w:r w:rsidRPr="00496BF6">
        <w:rPr>
          <w:i/>
          <w:sz w:val="22"/>
          <w:lang w:val="en-US"/>
        </w:rPr>
        <w:t>Scenario 1: Intra-UE DL Prioritization</w:t>
      </w:r>
    </w:p>
    <w:p w14:paraId="6268A5BA" w14:textId="77777777" w:rsidR="00496BF6" w:rsidRPr="00496BF6" w:rsidRDefault="00496BF6" w:rsidP="00496BF6">
      <w:pPr>
        <w:pStyle w:val="Header"/>
        <w:numPr>
          <w:ilvl w:val="1"/>
          <w:numId w:val="11"/>
        </w:numPr>
        <w:overflowPunct/>
        <w:autoSpaceDE/>
        <w:autoSpaceDN/>
        <w:adjustRightInd/>
        <w:spacing w:after="120"/>
        <w:jc w:val="both"/>
        <w:textAlignment w:val="auto"/>
        <w:rPr>
          <w:i/>
          <w:sz w:val="22"/>
          <w:lang w:val="en-US"/>
        </w:rPr>
      </w:pPr>
      <w:r w:rsidRPr="00496BF6">
        <w:rPr>
          <w:i/>
          <w:sz w:val="22"/>
          <w:lang w:val="en-US"/>
        </w:rPr>
        <w:lastRenderedPageBreak/>
        <w:t>Scenario 2: Intra-UE UL Prioritization – Resource Conflict between Configured and Dynamic Grant</w:t>
      </w:r>
    </w:p>
    <w:p w14:paraId="63AABA84" w14:textId="77777777" w:rsidR="00496BF6" w:rsidRPr="00496BF6" w:rsidRDefault="00496BF6" w:rsidP="00496BF6">
      <w:pPr>
        <w:pStyle w:val="Header"/>
        <w:numPr>
          <w:ilvl w:val="1"/>
          <w:numId w:val="11"/>
        </w:numPr>
        <w:overflowPunct/>
        <w:autoSpaceDE/>
        <w:autoSpaceDN/>
        <w:adjustRightInd/>
        <w:spacing w:after="120"/>
        <w:jc w:val="both"/>
        <w:textAlignment w:val="auto"/>
        <w:rPr>
          <w:i/>
          <w:sz w:val="22"/>
          <w:lang w:val="en-US"/>
        </w:rPr>
      </w:pPr>
      <w:r w:rsidRPr="00496BF6">
        <w:rPr>
          <w:i/>
          <w:sz w:val="22"/>
          <w:lang w:val="en-US"/>
        </w:rPr>
        <w:t>Scenario 3: Intra-UE UL Prioritization – Resource Conflict between Dynamic Grants</w:t>
      </w:r>
    </w:p>
    <w:p w14:paraId="27C25403" w14:textId="77777777" w:rsidR="00496BF6" w:rsidRPr="00496BF6" w:rsidRDefault="00496BF6" w:rsidP="00496BF6">
      <w:pPr>
        <w:pStyle w:val="Header"/>
        <w:numPr>
          <w:ilvl w:val="1"/>
          <w:numId w:val="11"/>
        </w:numPr>
        <w:overflowPunct/>
        <w:autoSpaceDE/>
        <w:autoSpaceDN/>
        <w:adjustRightInd/>
        <w:spacing w:after="120"/>
        <w:jc w:val="both"/>
        <w:textAlignment w:val="auto"/>
        <w:rPr>
          <w:i/>
          <w:sz w:val="22"/>
          <w:lang w:val="en-US"/>
        </w:rPr>
      </w:pPr>
      <w:r w:rsidRPr="00496BF6">
        <w:rPr>
          <w:i/>
          <w:sz w:val="22"/>
          <w:lang w:val="en-US"/>
        </w:rPr>
        <w:t>Scenario 4: Intra-UE UL Prioritization – Resource Conflict between Control Channel and Control Channel</w:t>
      </w:r>
    </w:p>
    <w:p w14:paraId="651DCCCE" w14:textId="77777777" w:rsidR="00496BF6" w:rsidRPr="00496BF6" w:rsidRDefault="00496BF6" w:rsidP="00496BF6">
      <w:pPr>
        <w:pStyle w:val="Header"/>
        <w:numPr>
          <w:ilvl w:val="1"/>
          <w:numId w:val="11"/>
        </w:numPr>
        <w:overflowPunct/>
        <w:autoSpaceDE/>
        <w:autoSpaceDN/>
        <w:adjustRightInd/>
        <w:spacing w:after="120"/>
        <w:jc w:val="both"/>
        <w:textAlignment w:val="auto"/>
        <w:rPr>
          <w:i/>
          <w:sz w:val="22"/>
          <w:lang w:val="en-US"/>
        </w:rPr>
      </w:pPr>
      <w:r w:rsidRPr="00496BF6">
        <w:rPr>
          <w:i/>
          <w:sz w:val="22"/>
          <w:lang w:val="en-US"/>
        </w:rPr>
        <w:t>Scenario 5: Intra-UE UL Prioritization – Resource Conflict between Control Channel and Data Channel</w:t>
      </w:r>
    </w:p>
    <w:p w14:paraId="67E14C9F" w14:textId="1F60F6BB" w:rsidR="00637F04" w:rsidRDefault="00637F04" w:rsidP="00637F04">
      <w:pPr>
        <w:jc w:val="both"/>
      </w:pPr>
      <w:r>
        <w:t xml:space="preserve">Additionally, RAN1 has agreed the support of multiple active configured grants and a LS has been sent for RAN2 </w:t>
      </w:r>
      <w:r>
        <w:t>in [</w:t>
      </w:r>
      <w:r w:rsidR="003D0048">
        <w:t>3</w:t>
      </w:r>
      <w:r>
        <w:t xml:space="preserve">] </w:t>
      </w:r>
      <w:r>
        <w:t>to take this into account</w:t>
      </w:r>
      <w:r>
        <w:t>:</w:t>
      </w:r>
    </w:p>
    <w:p w14:paraId="0483EF55" w14:textId="77777777" w:rsidR="00637F04" w:rsidRPr="0002074E" w:rsidRDefault="00637F04" w:rsidP="00637F04">
      <w:pPr>
        <w:spacing w:after="120"/>
        <w:ind w:left="993"/>
        <w:rPr>
          <w:i/>
          <w:sz w:val="22"/>
          <w:lang w:val="en-US"/>
        </w:rPr>
      </w:pPr>
      <w:r w:rsidRPr="0002074E">
        <w:rPr>
          <w:i/>
          <w:sz w:val="22"/>
        </w:rPr>
        <w:t>RAN1</w:t>
      </w:r>
      <w:r w:rsidRPr="0002074E">
        <w:rPr>
          <w:i/>
          <w:sz w:val="22"/>
          <w:lang w:val="en-US"/>
        </w:rPr>
        <w:t xml:space="preserve"> would like to inform RAN2 on the following agreements made in RAN1.  </w:t>
      </w:r>
    </w:p>
    <w:tbl>
      <w:tblPr>
        <w:tblStyle w:val="TableGrid"/>
        <w:tblW w:w="0" w:type="auto"/>
        <w:tblInd w:w="1696" w:type="dxa"/>
        <w:tblLook w:val="04A0" w:firstRow="1" w:lastRow="0" w:firstColumn="1" w:lastColumn="0" w:noHBand="0" w:noVBand="1"/>
      </w:tblPr>
      <w:tblGrid>
        <w:gridCol w:w="7716"/>
      </w:tblGrid>
      <w:tr w:rsidR="00637F04" w:rsidRPr="0002074E" w14:paraId="0686789F" w14:textId="77777777" w:rsidTr="00324FB4">
        <w:tc>
          <w:tcPr>
            <w:tcW w:w="7716" w:type="dxa"/>
          </w:tcPr>
          <w:p w14:paraId="54814FB8" w14:textId="77777777" w:rsidR="00637F04" w:rsidRPr="0002074E" w:rsidRDefault="00637F04" w:rsidP="00324FB4">
            <w:pPr>
              <w:pStyle w:val="B1"/>
              <w:spacing w:afterLines="50" w:after="120"/>
              <w:rPr>
                <w:rFonts w:eastAsia="MS Mincho"/>
                <w:b/>
                <w:i/>
                <w:sz w:val="22"/>
                <w:u w:val="single"/>
              </w:rPr>
            </w:pPr>
            <w:r w:rsidRPr="0002074E">
              <w:rPr>
                <w:rFonts w:eastAsia="MS Mincho"/>
                <w:b/>
                <w:i/>
                <w:sz w:val="22"/>
                <w:highlight w:val="green"/>
                <w:u w:val="single"/>
              </w:rPr>
              <w:t>Agreements:</w:t>
            </w:r>
          </w:p>
          <w:p w14:paraId="7FDC1663" w14:textId="77777777" w:rsidR="00637F04" w:rsidRPr="0002074E" w:rsidRDefault="00637F04" w:rsidP="00324FB4">
            <w:pPr>
              <w:numPr>
                <w:ilvl w:val="0"/>
                <w:numId w:val="13"/>
              </w:numPr>
              <w:overflowPunct/>
              <w:autoSpaceDE/>
              <w:autoSpaceDN/>
              <w:adjustRightInd/>
              <w:spacing w:afterLines="50" w:after="120"/>
              <w:textAlignment w:val="auto"/>
              <w:rPr>
                <w:rFonts w:eastAsia="MS Mincho"/>
                <w:i/>
                <w:sz w:val="22"/>
              </w:rPr>
            </w:pPr>
            <w:r w:rsidRPr="0002074E">
              <w:rPr>
                <w:rFonts w:eastAsia="MS Mincho"/>
                <w:i/>
                <w:sz w:val="22"/>
              </w:rPr>
              <w:t xml:space="preserve">Multiple active configured grant configurations for a given BWP of a serving cell should be supported at least for different services/traffic types </w:t>
            </w:r>
            <w:r w:rsidRPr="0002074E">
              <w:rPr>
                <w:rFonts w:eastAsia="MS Mincho" w:hint="eastAsia"/>
                <w:i/>
                <w:sz w:val="22"/>
              </w:rPr>
              <w:t>and/or</w:t>
            </w:r>
            <w:r w:rsidRPr="0002074E">
              <w:rPr>
                <w:rFonts w:eastAsia="MS Mincho"/>
                <w:i/>
                <w:sz w:val="22"/>
              </w:rPr>
              <w:t xml:space="preserve"> </w:t>
            </w:r>
            <w:r w:rsidRPr="0002074E">
              <w:rPr>
                <w:rFonts w:eastAsia="MS Mincho" w:hint="eastAsia"/>
                <w:i/>
                <w:sz w:val="22"/>
              </w:rPr>
              <w:t>for</w:t>
            </w:r>
            <w:r w:rsidRPr="0002074E">
              <w:rPr>
                <w:rFonts w:eastAsia="MS Mincho"/>
                <w:i/>
                <w:sz w:val="22"/>
              </w:rPr>
              <w:t xml:space="preserve"> enhanc</w:t>
            </w:r>
            <w:r w:rsidRPr="0002074E">
              <w:rPr>
                <w:rFonts w:eastAsia="MS Mincho" w:hint="eastAsia"/>
                <w:i/>
                <w:sz w:val="22"/>
              </w:rPr>
              <w:t>ing</w:t>
            </w:r>
            <w:r w:rsidRPr="0002074E">
              <w:rPr>
                <w:rFonts w:eastAsia="MS Mincho"/>
                <w:i/>
                <w:sz w:val="22"/>
              </w:rPr>
              <w:t xml:space="preserve"> reliability and reduc</w:t>
            </w:r>
            <w:r w:rsidRPr="0002074E">
              <w:rPr>
                <w:rFonts w:eastAsia="MS Mincho" w:hint="eastAsia"/>
                <w:i/>
                <w:sz w:val="22"/>
              </w:rPr>
              <w:t>ing</w:t>
            </w:r>
            <w:r w:rsidRPr="0002074E">
              <w:rPr>
                <w:rFonts w:eastAsia="MS Mincho"/>
                <w:i/>
                <w:sz w:val="22"/>
              </w:rPr>
              <w:t xml:space="preserve"> latency </w:t>
            </w:r>
          </w:p>
          <w:p w14:paraId="3953DE49" w14:textId="77777777" w:rsidR="00637F04" w:rsidRPr="0002074E" w:rsidRDefault="00637F04" w:rsidP="00324FB4">
            <w:pPr>
              <w:numPr>
                <w:ilvl w:val="1"/>
                <w:numId w:val="14"/>
              </w:numPr>
              <w:overflowPunct/>
              <w:autoSpaceDE/>
              <w:autoSpaceDN/>
              <w:adjustRightInd/>
              <w:spacing w:afterLines="50" w:after="120"/>
              <w:textAlignment w:val="auto"/>
              <w:rPr>
                <w:rFonts w:eastAsia="MS Mincho"/>
                <w:i/>
                <w:sz w:val="22"/>
              </w:rPr>
            </w:pPr>
            <w:r w:rsidRPr="0002074E">
              <w:rPr>
                <w:rFonts w:eastAsia="MS Mincho"/>
                <w:i/>
                <w:sz w:val="22"/>
              </w:rPr>
              <w:t>FFS details</w:t>
            </w:r>
          </w:p>
          <w:p w14:paraId="618355FB" w14:textId="77777777" w:rsidR="00637F04" w:rsidRPr="0002074E" w:rsidRDefault="00637F04" w:rsidP="00324FB4">
            <w:pPr>
              <w:numPr>
                <w:ilvl w:val="1"/>
                <w:numId w:val="14"/>
              </w:numPr>
              <w:overflowPunct/>
              <w:autoSpaceDE/>
              <w:autoSpaceDN/>
              <w:adjustRightInd/>
              <w:spacing w:afterLines="50" w:after="120"/>
              <w:textAlignment w:val="auto"/>
              <w:rPr>
                <w:rFonts w:eastAsia="MS Mincho"/>
                <w:i/>
                <w:sz w:val="22"/>
              </w:rPr>
            </w:pPr>
            <w:r w:rsidRPr="0002074E">
              <w:rPr>
                <w:rFonts w:eastAsia="DengXian" w:hint="eastAsia"/>
                <w:i/>
                <w:sz w:val="22"/>
                <w:lang w:eastAsia="zh-CN"/>
              </w:rPr>
              <w:t>N</w:t>
            </w:r>
            <w:r w:rsidRPr="0002074E">
              <w:rPr>
                <w:rFonts w:eastAsia="DengXian"/>
                <w:i/>
                <w:sz w:val="22"/>
                <w:lang w:eastAsia="zh-CN"/>
              </w:rPr>
              <w:t>ote: it is understood that the above may be related to RAN2 led work on intra-UE multiplexing</w:t>
            </w:r>
          </w:p>
        </w:tc>
      </w:tr>
    </w:tbl>
    <w:p w14:paraId="197BA29A" w14:textId="77777777" w:rsidR="00637F04" w:rsidRDefault="00637F04" w:rsidP="00637F04">
      <w:pPr>
        <w:jc w:val="both"/>
      </w:pPr>
    </w:p>
    <w:p w14:paraId="6FCE1798" w14:textId="32F0E4D3" w:rsidR="00637F04" w:rsidRDefault="00637F04" w:rsidP="00637F04">
      <w:pPr>
        <w:jc w:val="both"/>
      </w:pPr>
      <w:r>
        <w:t xml:space="preserve">Based on this request, it was agreed to support conflicts between multiple configured grants </w:t>
      </w:r>
      <w:r w:rsidR="00AD6BF8">
        <w:t xml:space="preserve">in addition to the previously agreed five scenarios. Scenario 2, 4, 5 as well as conflicts between multiple CGs can be either handled by modifying MAC behaviour or by enhancements in both PHY and MAC layers. It is thus natural to continue working on them within NR </w:t>
      </w:r>
      <w:proofErr w:type="spellStart"/>
      <w:r w:rsidR="00AD6BF8">
        <w:t>IIoT</w:t>
      </w:r>
      <w:proofErr w:type="spellEnd"/>
      <w:r w:rsidR="00AD6BF8">
        <w:t xml:space="preserve"> WI. On the other hand, RAN2 has not identified any impacts on MAC layer from scenarios 1 and 3 thus far, and even if such exist, they should be rather small. Furthermore, as raised in the e-mail discussion on the NR IIOT WID, at least scenario 3 is overlapping with an objective to specify “</w:t>
      </w:r>
      <w:r w:rsidR="00AD6BF8" w:rsidRPr="00AD6BF8">
        <w:t>Out-of-order PUSCH scheduling</w:t>
      </w:r>
      <w:r w:rsidR="00AD6BF8">
        <w:t xml:space="preserve">” proposed for </w:t>
      </w:r>
      <w:proofErr w:type="spellStart"/>
      <w:r w:rsidR="00AD6BF8">
        <w:t>eURLLC</w:t>
      </w:r>
      <w:proofErr w:type="spellEnd"/>
      <w:r w:rsidR="00AD6BF8">
        <w:t xml:space="preserve"> WI. It is then worth discussing whether those scenarios should be kept in NR </w:t>
      </w:r>
      <w:proofErr w:type="spellStart"/>
      <w:r w:rsidR="00AD6BF8">
        <w:t>IIoT</w:t>
      </w:r>
      <w:proofErr w:type="spellEnd"/>
      <w:r w:rsidR="00AD6BF8">
        <w:t xml:space="preserve"> WI or moved to </w:t>
      </w:r>
      <w:proofErr w:type="spellStart"/>
      <w:r w:rsidR="00AD6BF8">
        <w:t>eURLLC</w:t>
      </w:r>
      <w:proofErr w:type="spellEnd"/>
      <w:r w:rsidR="00AD6BF8">
        <w:t xml:space="preserve"> WI.</w:t>
      </w:r>
    </w:p>
    <w:p w14:paraId="56BB3429" w14:textId="76CC9DED" w:rsidR="00AD6BF8" w:rsidRPr="00AD6BF8" w:rsidRDefault="00AD6BF8" w:rsidP="00637F04">
      <w:pPr>
        <w:jc w:val="both"/>
      </w:pPr>
      <w:r>
        <w:rPr>
          <w:b/>
        </w:rPr>
        <w:t xml:space="preserve">Proposal 4: RAN should discuss whether to keep objectives relating to intra-UE prioritization/multiplexing of overlapping dynamic UL and DL assignments in NR </w:t>
      </w:r>
      <w:proofErr w:type="spellStart"/>
      <w:r>
        <w:rPr>
          <w:b/>
        </w:rPr>
        <w:t>IIoT</w:t>
      </w:r>
      <w:proofErr w:type="spellEnd"/>
      <w:r>
        <w:rPr>
          <w:b/>
        </w:rPr>
        <w:t xml:space="preserve"> WI or move them to </w:t>
      </w:r>
      <w:proofErr w:type="spellStart"/>
      <w:r>
        <w:rPr>
          <w:b/>
        </w:rPr>
        <w:t>eURLLC</w:t>
      </w:r>
      <w:proofErr w:type="spellEnd"/>
      <w:r>
        <w:rPr>
          <w:b/>
        </w:rPr>
        <w:t xml:space="preserve"> WI.</w:t>
      </w:r>
    </w:p>
    <w:p w14:paraId="08052984" w14:textId="0CC86929" w:rsidR="00016A67" w:rsidRDefault="00016A67" w:rsidP="00016A67">
      <w:pPr>
        <w:pStyle w:val="Heading1"/>
      </w:pPr>
      <w:r>
        <w:t>Scheduling enhancements for TSC</w:t>
      </w:r>
    </w:p>
    <w:p w14:paraId="5A2228FD" w14:textId="255CD6EB" w:rsidR="00016A67" w:rsidRDefault="00E16515" w:rsidP="00016A67">
      <w:r>
        <w:t xml:space="preserve">Enhancements towards scheduling were discussed as part of both NR </w:t>
      </w:r>
      <w:proofErr w:type="spellStart"/>
      <w:r>
        <w:t>IIoT</w:t>
      </w:r>
      <w:proofErr w:type="spellEnd"/>
      <w:r>
        <w:t xml:space="preserve"> and </w:t>
      </w:r>
      <w:proofErr w:type="spellStart"/>
      <w:r>
        <w:t>eURLLC</w:t>
      </w:r>
      <w:proofErr w:type="spellEnd"/>
      <w:r>
        <w:t xml:space="preserve"> SIs. In the former it was agreed that multiple active CG as well as SPS configurations should be supported. Additionally, it was deemed necessary to support shorter periodicities of SPS. </w:t>
      </w:r>
      <w:proofErr w:type="spellStart"/>
      <w:r>
        <w:t>eURLLC</w:t>
      </w:r>
      <w:proofErr w:type="spellEnd"/>
      <w:r>
        <w:t xml:space="preserve"> SI on the other hand reached similar conclusion, but only for Configured Grants. In consequence, the drafts of the two SIs contain similar objectives in that area. Draft WID of </w:t>
      </w:r>
      <w:proofErr w:type="spellStart"/>
      <w:r>
        <w:t>IIoT</w:t>
      </w:r>
      <w:proofErr w:type="spellEnd"/>
      <w:r>
        <w:t xml:space="preserve"> WI contains the following:</w:t>
      </w:r>
    </w:p>
    <w:tbl>
      <w:tblPr>
        <w:tblStyle w:val="TableGrid"/>
        <w:tblW w:w="0" w:type="auto"/>
        <w:tblLook w:val="04A0" w:firstRow="1" w:lastRow="0" w:firstColumn="1" w:lastColumn="0" w:noHBand="0" w:noVBand="1"/>
      </w:tblPr>
      <w:tblGrid>
        <w:gridCol w:w="9412"/>
      </w:tblGrid>
      <w:tr w:rsidR="00E16515" w14:paraId="5DC8BC73" w14:textId="77777777" w:rsidTr="00E16515">
        <w:tc>
          <w:tcPr>
            <w:tcW w:w="9412" w:type="dxa"/>
          </w:tcPr>
          <w:p w14:paraId="78F2782B" w14:textId="77777777" w:rsidR="00E16515" w:rsidRDefault="00E16515" w:rsidP="00E16515">
            <w:pPr>
              <w:numPr>
                <w:ilvl w:val="1"/>
                <w:numId w:val="17"/>
              </w:numPr>
              <w:spacing w:after="0"/>
              <w:jc w:val="both"/>
              <w:rPr>
                <w:lang w:val="en-US"/>
              </w:rPr>
            </w:pPr>
            <w:r>
              <w:rPr>
                <w:lang w:val="en-US"/>
              </w:rPr>
              <w:t>Support for multiple simultaneous active CG and semi-persistent scheduling (SPS) configurations for a given BWP of a UE.</w:t>
            </w:r>
            <w:r w:rsidRPr="008566E6">
              <w:rPr>
                <w:lang w:val="en-US"/>
              </w:rPr>
              <w:t xml:space="preserve"> </w:t>
            </w:r>
            <w:r>
              <w:rPr>
                <w:lang w:val="en-US"/>
              </w:rPr>
              <w:t>[RAN2, RAN1].</w:t>
            </w:r>
          </w:p>
          <w:p w14:paraId="20B86A0A" w14:textId="1F7D50BD" w:rsidR="00E16515" w:rsidRPr="00E16515" w:rsidRDefault="00E16515" w:rsidP="00016A67">
            <w:pPr>
              <w:numPr>
                <w:ilvl w:val="1"/>
                <w:numId w:val="17"/>
              </w:numPr>
              <w:spacing w:after="0"/>
              <w:jc w:val="both"/>
              <w:rPr>
                <w:lang w:val="en-US"/>
              </w:rPr>
            </w:pPr>
            <w:r>
              <w:rPr>
                <w:lang w:val="en-US"/>
              </w:rPr>
              <w:t>Support for shorter SPS periodicities than the existing ones [RAN2, RAN1].</w:t>
            </w:r>
          </w:p>
        </w:tc>
      </w:tr>
    </w:tbl>
    <w:p w14:paraId="6A124C12" w14:textId="77777777" w:rsidR="00E16515" w:rsidRDefault="00E16515" w:rsidP="00016A67">
      <w:pPr>
        <w:rPr>
          <w:lang w:val="en-US"/>
        </w:rPr>
      </w:pPr>
    </w:p>
    <w:p w14:paraId="26918C33" w14:textId="6E05A831" w:rsidR="00E16515" w:rsidRDefault="00E16515" w:rsidP="00016A67">
      <w:pPr>
        <w:rPr>
          <w:lang w:val="en-US"/>
        </w:rPr>
      </w:pPr>
      <w:r>
        <w:rPr>
          <w:lang w:val="en-US"/>
        </w:rPr>
        <w:t xml:space="preserve">Draft WID of </w:t>
      </w:r>
      <w:proofErr w:type="spellStart"/>
      <w:r>
        <w:rPr>
          <w:lang w:val="en-US"/>
        </w:rPr>
        <w:t>eURLLC</w:t>
      </w:r>
      <w:proofErr w:type="spellEnd"/>
      <w:r>
        <w:rPr>
          <w:lang w:val="en-US"/>
        </w:rPr>
        <w:t xml:space="preserve"> in turn, contains the following objective:</w:t>
      </w:r>
    </w:p>
    <w:tbl>
      <w:tblPr>
        <w:tblStyle w:val="TableGrid"/>
        <w:tblW w:w="0" w:type="auto"/>
        <w:tblLook w:val="04A0" w:firstRow="1" w:lastRow="0" w:firstColumn="1" w:lastColumn="0" w:noHBand="0" w:noVBand="1"/>
      </w:tblPr>
      <w:tblGrid>
        <w:gridCol w:w="9412"/>
      </w:tblGrid>
      <w:tr w:rsidR="00E16515" w14:paraId="566EBCD6" w14:textId="77777777" w:rsidTr="00E16515">
        <w:tc>
          <w:tcPr>
            <w:tcW w:w="9412" w:type="dxa"/>
          </w:tcPr>
          <w:p w14:paraId="714F345B" w14:textId="77777777" w:rsidR="00E16515" w:rsidRDefault="00E16515" w:rsidP="00E16515">
            <w:pPr>
              <w:numPr>
                <w:ilvl w:val="0"/>
                <w:numId w:val="18"/>
              </w:numPr>
              <w:tabs>
                <w:tab w:val="num" w:pos="709"/>
                <w:tab w:val="num" w:pos="2160"/>
              </w:tabs>
              <w:spacing w:after="0"/>
              <w:jc w:val="both"/>
              <w:rPr>
                <w:bCs/>
                <w:lang w:val="en-US"/>
              </w:rPr>
            </w:pPr>
            <w:r>
              <w:rPr>
                <w:bCs/>
                <w:lang w:val="en-US"/>
              </w:rPr>
              <w:t>Specification of</w:t>
            </w:r>
            <w:r w:rsidRPr="0007292F">
              <w:rPr>
                <w:bCs/>
                <w:lang w:val="en-US"/>
              </w:rPr>
              <w:t xml:space="preserve"> </w:t>
            </w:r>
            <w:r w:rsidRPr="007368F9">
              <w:rPr>
                <w:lang w:eastAsia="zh-CN"/>
              </w:rPr>
              <w:t>enhanced UL configured grant transmission</w:t>
            </w:r>
            <w:r>
              <w:rPr>
                <w:bCs/>
                <w:lang w:val="en-US"/>
              </w:rPr>
              <w:t xml:space="preserve"> [RAN1, RAN2]</w:t>
            </w:r>
          </w:p>
          <w:p w14:paraId="15937EA8" w14:textId="101844FD" w:rsidR="00E16515" w:rsidRPr="00E16515" w:rsidRDefault="00E16515" w:rsidP="00016A67">
            <w:pPr>
              <w:numPr>
                <w:ilvl w:val="1"/>
                <w:numId w:val="18"/>
              </w:numPr>
              <w:spacing w:after="0"/>
              <w:jc w:val="both"/>
              <w:rPr>
                <w:bCs/>
                <w:lang w:val="en-U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tc>
      </w:tr>
    </w:tbl>
    <w:p w14:paraId="5F1FC334" w14:textId="5AFD460C" w:rsidR="00E16515" w:rsidRDefault="00E16515" w:rsidP="00016A67">
      <w:pPr>
        <w:rPr>
          <w:lang w:val="en-US"/>
        </w:rPr>
      </w:pPr>
    </w:p>
    <w:p w14:paraId="31D80154" w14:textId="70E8A9C4" w:rsidR="00FC6F10" w:rsidRDefault="00FC6F10" w:rsidP="00342333">
      <w:pPr>
        <w:rPr>
          <w:lang w:val="en-US"/>
        </w:rPr>
      </w:pPr>
      <w:r>
        <w:rPr>
          <w:lang w:val="en-US"/>
        </w:rPr>
        <w:t xml:space="preserve">To avoid duplicated work, the objective should be handled in a single WI. Since the CG enhancements were first decided in the </w:t>
      </w:r>
      <w:proofErr w:type="spellStart"/>
      <w:r>
        <w:rPr>
          <w:lang w:val="en-US"/>
        </w:rPr>
        <w:t>eURLLC</w:t>
      </w:r>
      <w:proofErr w:type="spellEnd"/>
      <w:r>
        <w:rPr>
          <w:lang w:val="en-US"/>
        </w:rPr>
        <w:t xml:space="preserve"> work, it may be more efficient to continue the work there. SPS enhancements originated </w:t>
      </w:r>
      <w:r>
        <w:rPr>
          <w:lang w:val="en-US"/>
        </w:rPr>
        <w:lastRenderedPageBreak/>
        <w:t xml:space="preserve">solely from the need to support TSN traffic more efficiently and was not discussed in </w:t>
      </w:r>
      <w:proofErr w:type="spellStart"/>
      <w:r>
        <w:rPr>
          <w:lang w:val="en-US"/>
        </w:rPr>
        <w:t>eURLLC</w:t>
      </w:r>
      <w:proofErr w:type="spellEnd"/>
      <w:r>
        <w:rPr>
          <w:lang w:val="en-US"/>
        </w:rPr>
        <w:t xml:space="preserve"> SI. Therefore, we propose the following:</w:t>
      </w:r>
    </w:p>
    <w:p w14:paraId="151D060A" w14:textId="42267200" w:rsidR="00FC6F10" w:rsidRDefault="00FC6F10" w:rsidP="00342333">
      <w:pPr>
        <w:rPr>
          <w:b/>
          <w:lang w:val="en-US"/>
        </w:rPr>
      </w:pPr>
      <w:r>
        <w:rPr>
          <w:b/>
          <w:lang w:val="en-US"/>
        </w:rPr>
        <w:t>Proposal</w:t>
      </w:r>
      <w:r w:rsidR="00AD6BF8">
        <w:rPr>
          <w:b/>
          <w:lang w:val="en-US"/>
        </w:rPr>
        <w:t xml:space="preserve"> 5</w:t>
      </w:r>
      <w:r>
        <w:rPr>
          <w:b/>
          <w:lang w:val="en-US"/>
        </w:rPr>
        <w:t xml:space="preserve">: Support for multiple CG configurations should be handled in </w:t>
      </w:r>
      <w:proofErr w:type="spellStart"/>
      <w:r>
        <w:rPr>
          <w:b/>
          <w:lang w:val="en-US"/>
        </w:rPr>
        <w:t>eURLLC</w:t>
      </w:r>
      <w:proofErr w:type="spellEnd"/>
      <w:r>
        <w:rPr>
          <w:b/>
          <w:lang w:val="en-US"/>
        </w:rPr>
        <w:t xml:space="preserve"> WI while enhancements to support multiple SPS configuration and shorter SPS periodicities should be handled in NR </w:t>
      </w:r>
      <w:proofErr w:type="spellStart"/>
      <w:r>
        <w:rPr>
          <w:b/>
          <w:lang w:val="en-US"/>
        </w:rPr>
        <w:t>IIoT</w:t>
      </w:r>
      <w:proofErr w:type="spellEnd"/>
      <w:r>
        <w:rPr>
          <w:b/>
          <w:lang w:val="en-US"/>
        </w:rPr>
        <w:t xml:space="preserve"> WI.</w:t>
      </w:r>
    </w:p>
    <w:p w14:paraId="6FA56111" w14:textId="5C77905F" w:rsidR="00FC6F10" w:rsidRDefault="00FC6F10" w:rsidP="00342333">
      <w:pPr>
        <w:rPr>
          <w:lang w:val="en-US"/>
        </w:rPr>
      </w:pPr>
      <w:r>
        <w:rPr>
          <w:lang w:val="en-US"/>
        </w:rPr>
        <w:t>Even though s</w:t>
      </w:r>
      <w:r w:rsidRPr="00FC6F10">
        <w:rPr>
          <w:lang w:val="en-US"/>
        </w:rPr>
        <w:t>upport for multiple CG configurations</w:t>
      </w:r>
      <w:r>
        <w:rPr>
          <w:lang w:val="en-US"/>
        </w:rPr>
        <w:t xml:space="preserve"> would be handled in </w:t>
      </w:r>
      <w:proofErr w:type="spellStart"/>
      <w:r>
        <w:rPr>
          <w:lang w:val="en-US"/>
        </w:rPr>
        <w:t>eURLLC</w:t>
      </w:r>
      <w:proofErr w:type="spellEnd"/>
      <w:r>
        <w:rPr>
          <w:lang w:val="en-US"/>
        </w:rPr>
        <w:t xml:space="preserve"> WI, it is important that requirements of TSC traffic are met, e.g. in terms of how many simultaneous configurations should be supported.</w:t>
      </w:r>
    </w:p>
    <w:p w14:paraId="71EA6E11" w14:textId="38EB6F52" w:rsidR="00FC6F10" w:rsidRPr="00FC6F10" w:rsidRDefault="00FC6F10" w:rsidP="00342333">
      <w:pPr>
        <w:rPr>
          <w:b/>
          <w:lang w:val="en-US"/>
        </w:rPr>
      </w:pPr>
      <w:r>
        <w:rPr>
          <w:b/>
          <w:lang w:val="en-US"/>
        </w:rPr>
        <w:t>Proposal</w:t>
      </w:r>
      <w:r w:rsidR="00AD6BF8">
        <w:rPr>
          <w:b/>
          <w:lang w:val="en-US"/>
        </w:rPr>
        <w:t xml:space="preserve"> 6</w:t>
      </w:r>
      <w:r>
        <w:rPr>
          <w:b/>
          <w:lang w:val="en-US"/>
        </w:rPr>
        <w:t xml:space="preserve">: The work on multiple CG configurations support, if handled within </w:t>
      </w:r>
      <w:proofErr w:type="spellStart"/>
      <w:r>
        <w:rPr>
          <w:b/>
          <w:lang w:val="en-US"/>
        </w:rPr>
        <w:t>eURLLC</w:t>
      </w:r>
      <w:proofErr w:type="spellEnd"/>
      <w:r>
        <w:rPr>
          <w:b/>
          <w:lang w:val="en-US"/>
        </w:rPr>
        <w:t xml:space="preserve"> WI, should consider requirements of TSC traffic as studied in NR </w:t>
      </w:r>
      <w:proofErr w:type="spellStart"/>
      <w:r>
        <w:rPr>
          <w:b/>
          <w:lang w:val="en-US"/>
        </w:rPr>
        <w:t>IIoT</w:t>
      </w:r>
      <w:proofErr w:type="spellEnd"/>
      <w:r>
        <w:rPr>
          <w:b/>
          <w:lang w:val="en-US"/>
        </w:rPr>
        <w:t xml:space="preserve"> SI.</w:t>
      </w:r>
    </w:p>
    <w:p w14:paraId="19DBB745" w14:textId="426E7FB3" w:rsidR="00E16515" w:rsidRDefault="00D234EF" w:rsidP="00342333">
      <w:pPr>
        <w:rPr>
          <w:lang w:val="en-US"/>
        </w:rPr>
      </w:pPr>
      <w:r w:rsidRPr="00684B5B">
        <w:rPr>
          <w:lang w:val="en-US"/>
        </w:rPr>
        <w:t xml:space="preserve">Multiple </w:t>
      </w:r>
      <w:r>
        <w:rPr>
          <w:lang w:val="en-US"/>
        </w:rPr>
        <w:t xml:space="preserve">CG/SPS configurations for </w:t>
      </w:r>
      <w:proofErr w:type="spellStart"/>
      <w:r>
        <w:rPr>
          <w:lang w:val="en-US"/>
        </w:rPr>
        <w:t>Uu</w:t>
      </w:r>
      <w:proofErr w:type="spellEnd"/>
      <w:r>
        <w:rPr>
          <w:lang w:val="en-US"/>
        </w:rPr>
        <w:t xml:space="preserve"> interface were also deemed beneficial for V2X use cases as part of the related study. However, unless there are specific V2X related requirements identified for this, we propose that this enhancement is specified outside V2X WI</w:t>
      </w:r>
      <w:r w:rsidR="00FC6F10">
        <w:rPr>
          <w:lang w:val="en-US"/>
        </w:rPr>
        <w:t xml:space="preserve">, i.e. within </w:t>
      </w:r>
      <w:proofErr w:type="spellStart"/>
      <w:r w:rsidR="00FC6F10">
        <w:rPr>
          <w:lang w:val="en-US"/>
        </w:rPr>
        <w:t>eURLLC</w:t>
      </w:r>
      <w:proofErr w:type="spellEnd"/>
      <w:r w:rsidR="00FC6F10">
        <w:rPr>
          <w:lang w:val="en-US"/>
        </w:rPr>
        <w:t xml:space="preserve"> and NR </w:t>
      </w:r>
      <w:proofErr w:type="spellStart"/>
      <w:r w:rsidR="00FC6F10">
        <w:rPr>
          <w:lang w:val="en-US"/>
        </w:rPr>
        <w:t>IIoT</w:t>
      </w:r>
      <w:proofErr w:type="spellEnd"/>
      <w:r w:rsidR="00FC6F10">
        <w:rPr>
          <w:lang w:val="en-US"/>
        </w:rPr>
        <w:t xml:space="preserve"> WI.</w:t>
      </w:r>
    </w:p>
    <w:p w14:paraId="2ED08780" w14:textId="625F51FE" w:rsidR="00FC6F10" w:rsidRDefault="00FC6F10" w:rsidP="00342333">
      <w:pPr>
        <w:rPr>
          <w:b/>
          <w:lang w:val="en-US"/>
        </w:rPr>
      </w:pPr>
      <w:r>
        <w:rPr>
          <w:b/>
          <w:lang w:val="en-US"/>
        </w:rPr>
        <w:t>Proposal</w:t>
      </w:r>
      <w:r w:rsidR="00AD6BF8">
        <w:rPr>
          <w:b/>
          <w:lang w:val="en-US"/>
        </w:rPr>
        <w:t xml:space="preserve"> 7</w:t>
      </w:r>
      <w:r>
        <w:rPr>
          <w:b/>
          <w:lang w:val="en-US"/>
        </w:rPr>
        <w:t xml:space="preserve">: To avoid overlap with </w:t>
      </w:r>
      <w:proofErr w:type="spellStart"/>
      <w:r>
        <w:rPr>
          <w:b/>
          <w:lang w:val="en-US"/>
        </w:rPr>
        <w:t>eURLLC</w:t>
      </w:r>
      <w:proofErr w:type="spellEnd"/>
      <w:r>
        <w:rPr>
          <w:b/>
          <w:lang w:val="en-US"/>
        </w:rPr>
        <w:t xml:space="preserve"> and NR </w:t>
      </w:r>
      <w:proofErr w:type="spellStart"/>
      <w:r>
        <w:rPr>
          <w:b/>
          <w:lang w:val="en-US"/>
        </w:rPr>
        <w:t>IIoT</w:t>
      </w:r>
      <w:proofErr w:type="spellEnd"/>
      <w:r>
        <w:rPr>
          <w:b/>
          <w:lang w:val="en-US"/>
        </w:rPr>
        <w:t xml:space="preserve"> WIs, V2X WI should not specify </w:t>
      </w:r>
      <w:r w:rsidR="00342628">
        <w:rPr>
          <w:b/>
          <w:lang w:val="en-US"/>
        </w:rPr>
        <w:t>support for multiple CG/SPS configurations.</w:t>
      </w:r>
    </w:p>
    <w:p w14:paraId="3470C62C" w14:textId="3E0CEA98" w:rsidR="006855E8" w:rsidRDefault="006855E8" w:rsidP="006855E8">
      <w:pPr>
        <w:pStyle w:val="Heading1"/>
      </w:pPr>
      <w:r>
        <w:t>Summary</w:t>
      </w:r>
    </w:p>
    <w:p w14:paraId="7DD95CA7" w14:textId="7F04ABE6" w:rsidR="006855E8" w:rsidRDefault="006855E8" w:rsidP="00342333">
      <w:pPr>
        <w:rPr>
          <w:lang w:val="en-US"/>
        </w:rPr>
      </w:pPr>
      <w:r w:rsidRPr="006855E8">
        <w:rPr>
          <w:lang w:val="en-US"/>
        </w:rPr>
        <w:t xml:space="preserve">RAN </w:t>
      </w:r>
      <w:r>
        <w:rPr>
          <w:lang w:val="en-US"/>
        </w:rPr>
        <w:t xml:space="preserve">is respectfully requested to address remaining issues related to the scope of NR </w:t>
      </w:r>
      <w:proofErr w:type="spellStart"/>
      <w:r>
        <w:rPr>
          <w:lang w:val="en-US"/>
        </w:rPr>
        <w:t>IIoT</w:t>
      </w:r>
      <w:proofErr w:type="spellEnd"/>
      <w:r>
        <w:rPr>
          <w:lang w:val="en-US"/>
        </w:rPr>
        <w:t xml:space="preserve"> WI by discussing and agreeing the following proposals:</w:t>
      </w:r>
    </w:p>
    <w:p w14:paraId="28053CBD" w14:textId="77777777" w:rsidR="006855E8" w:rsidRPr="00133CC3" w:rsidRDefault="006855E8" w:rsidP="006855E8">
      <w:pPr>
        <w:rPr>
          <w:b/>
        </w:rPr>
      </w:pPr>
      <w:r>
        <w:rPr>
          <w:b/>
        </w:rPr>
        <w:t xml:space="preserve">Proposal 1: NR </w:t>
      </w:r>
      <w:proofErr w:type="spellStart"/>
      <w:r>
        <w:rPr>
          <w:b/>
        </w:rPr>
        <w:t>IIoT</w:t>
      </w:r>
      <w:proofErr w:type="spellEnd"/>
      <w:r>
        <w:rPr>
          <w:b/>
        </w:rPr>
        <w:t xml:space="preserve"> WI should specify Ethernet header compression based on structure-aware approach.</w:t>
      </w:r>
    </w:p>
    <w:p w14:paraId="6BF7E8D6" w14:textId="77777777" w:rsidR="006855E8" w:rsidRPr="006855E8" w:rsidRDefault="006855E8" w:rsidP="006855E8">
      <w:pPr>
        <w:rPr>
          <w:b/>
        </w:rPr>
      </w:pPr>
      <w:r>
        <w:rPr>
          <w:b/>
        </w:rPr>
        <w:t xml:space="preserve">Proposal 2: The decision on whether to reuse </w:t>
      </w:r>
      <w:proofErr w:type="spellStart"/>
      <w:r>
        <w:rPr>
          <w:b/>
        </w:rPr>
        <w:t>RoHC</w:t>
      </w:r>
      <w:proofErr w:type="spellEnd"/>
      <w:r>
        <w:rPr>
          <w:b/>
        </w:rPr>
        <w:t xml:space="preserve"> or develop a new algorithm can be made after receiving the reply from IETF and IEE.</w:t>
      </w:r>
    </w:p>
    <w:p w14:paraId="20AC5334" w14:textId="4557E173" w:rsidR="006855E8" w:rsidRPr="006855E8" w:rsidRDefault="006855E8" w:rsidP="006855E8">
      <w:pPr>
        <w:rPr>
          <w:b/>
        </w:rPr>
      </w:pPr>
      <w:r w:rsidRPr="006855E8">
        <w:rPr>
          <w:b/>
        </w:rPr>
        <w:t>Proposal 3: Support NPN and CAG use cases in the</w:t>
      </w:r>
      <w:r w:rsidR="00390A93">
        <w:rPr>
          <w:b/>
        </w:rPr>
        <w:t xml:space="preserve"> NR</w:t>
      </w:r>
      <w:bookmarkStart w:id="2" w:name="_GoBack"/>
      <w:bookmarkEnd w:id="2"/>
      <w:r w:rsidRPr="006855E8">
        <w:rPr>
          <w:b/>
        </w:rPr>
        <w:t xml:space="preserve"> </w:t>
      </w:r>
      <w:proofErr w:type="spellStart"/>
      <w:r w:rsidRPr="006855E8">
        <w:rPr>
          <w:b/>
        </w:rPr>
        <w:t>IIoT</w:t>
      </w:r>
      <w:proofErr w:type="spellEnd"/>
      <w:r w:rsidRPr="006855E8">
        <w:rPr>
          <w:b/>
        </w:rPr>
        <w:t xml:space="preserve"> WID.</w:t>
      </w:r>
    </w:p>
    <w:p w14:paraId="0E00B64E" w14:textId="77777777" w:rsidR="006855E8" w:rsidRPr="00AD6BF8" w:rsidRDefault="006855E8" w:rsidP="006855E8">
      <w:r>
        <w:rPr>
          <w:b/>
        </w:rPr>
        <w:t xml:space="preserve">Proposal 4: RAN should discuss whether to keep objectives relating to intra-UE prioritization/multiplexing of overlapping dynamic UL and DL assignments in NR </w:t>
      </w:r>
      <w:proofErr w:type="spellStart"/>
      <w:r>
        <w:rPr>
          <w:b/>
        </w:rPr>
        <w:t>IIoT</w:t>
      </w:r>
      <w:proofErr w:type="spellEnd"/>
      <w:r>
        <w:rPr>
          <w:b/>
        </w:rPr>
        <w:t xml:space="preserve"> WI or move them to </w:t>
      </w:r>
      <w:proofErr w:type="spellStart"/>
      <w:r>
        <w:rPr>
          <w:b/>
        </w:rPr>
        <w:t>eURLLC</w:t>
      </w:r>
      <w:proofErr w:type="spellEnd"/>
      <w:r>
        <w:rPr>
          <w:b/>
        </w:rPr>
        <w:t xml:space="preserve"> WI.</w:t>
      </w:r>
    </w:p>
    <w:p w14:paraId="4C5E7B98" w14:textId="77777777" w:rsidR="006855E8" w:rsidRDefault="006855E8" w:rsidP="006855E8">
      <w:pPr>
        <w:rPr>
          <w:b/>
          <w:lang w:val="en-US"/>
        </w:rPr>
      </w:pPr>
      <w:r>
        <w:rPr>
          <w:b/>
          <w:lang w:val="en-US"/>
        </w:rPr>
        <w:t xml:space="preserve">Proposal 5: Support for multiple CG configurations should be handled in </w:t>
      </w:r>
      <w:proofErr w:type="spellStart"/>
      <w:r>
        <w:rPr>
          <w:b/>
          <w:lang w:val="en-US"/>
        </w:rPr>
        <w:t>eURLLC</w:t>
      </w:r>
      <w:proofErr w:type="spellEnd"/>
      <w:r>
        <w:rPr>
          <w:b/>
          <w:lang w:val="en-US"/>
        </w:rPr>
        <w:t xml:space="preserve"> WI while enhancements to support multiple SPS configuration and shorter SPS periodicities should be handled in NR </w:t>
      </w:r>
      <w:proofErr w:type="spellStart"/>
      <w:r>
        <w:rPr>
          <w:b/>
          <w:lang w:val="en-US"/>
        </w:rPr>
        <w:t>IIoT</w:t>
      </w:r>
      <w:proofErr w:type="spellEnd"/>
      <w:r>
        <w:rPr>
          <w:b/>
          <w:lang w:val="en-US"/>
        </w:rPr>
        <w:t xml:space="preserve"> WI.</w:t>
      </w:r>
    </w:p>
    <w:p w14:paraId="5FB844F7" w14:textId="77777777" w:rsidR="006855E8" w:rsidRPr="00FC6F10" w:rsidRDefault="006855E8" w:rsidP="006855E8">
      <w:pPr>
        <w:rPr>
          <w:b/>
          <w:lang w:val="en-US"/>
        </w:rPr>
      </w:pPr>
      <w:r>
        <w:rPr>
          <w:b/>
          <w:lang w:val="en-US"/>
        </w:rPr>
        <w:t xml:space="preserve">Proposal 6: The work on multiple CG configurations support, if handled within </w:t>
      </w:r>
      <w:proofErr w:type="spellStart"/>
      <w:r>
        <w:rPr>
          <w:b/>
          <w:lang w:val="en-US"/>
        </w:rPr>
        <w:t>eURLLC</w:t>
      </w:r>
      <w:proofErr w:type="spellEnd"/>
      <w:r>
        <w:rPr>
          <w:b/>
          <w:lang w:val="en-US"/>
        </w:rPr>
        <w:t xml:space="preserve"> WI, should consider requirements of TSC traffic as studied in NR </w:t>
      </w:r>
      <w:proofErr w:type="spellStart"/>
      <w:r>
        <w:rPr>
          <w:b/>
          <w:lang w:val="en-US"/>
        </w:rPr>
        <w:t>IIoT</w:t>
      </w:r>
      <w:proofErr w:type="spellEnd"/>
      <w:r>
        <w:rPr>
          <w:b/>
          <w:lang w:val="en-US"/>
        </w:rPr>
        <w:t xml:space="preserve"> SI.</w:t>
      </w:r>
    </w:p>
    <w:p w14:paraId="3B3AB443" w14:textId="77777777" w:rsidR="006855E8" w:rsidRDefault="006855E8" w:rsidP="006855E8">
      <w:pPr>
        <w:rPr>
          <w:b/>
          <w:lang w:val="en-US"/>
        </w:rPr>
      </w:pPr>
      <w:r>
        <w:rPr>
          <w:b/>
          <w:lang w:val="en-US"/>
        </w:rPr>
        <w:t xml:space="preserve">Proposal 7: To avoid overlap with </w:t>
      </w:r>
      <w:proofErr w:type="spellStart"/>
      <w:r>
        <w:rPr>
          <w:b/>
          <w:lang w:val="en-US"/>
        </w:rPr>
        <w:t>eURLLC</w:t>
      </w:r>
      <w:proofErr w:type="spellEnd"/>
      <w:r>
        <w:rPr>
          <w:b/>
          <w:lang w:val="en-US"/>
        </w:rPr>
        <w:t xml:space="preserve"> and NR </w:t>
      </w:r>
      <w:proofErr w:type="spellStart"/>
      <w:r>
        <w:rPr>
          <w:b/>
          <w:lang w:val="en-US"/>
        </w:rPr>
        <w:t>IIoT</w:t>
      </w:r>
      <w:proofErr w:type="spellEnd"/>
      <w:r>
        <w:rPr>
          <w:b/>
          <w:lang w:val="en-US"/>
        </w:rPr>
        <w:t xml:space="preserve"> WIs, V2X WI should not specify support for multiple CG/SPS configurations.</w:t>
      </w:r>
    </w:p>
    <w:p w14:paraId="10D17788" w14:textId="77777777" w:rsidR="00CB16FB" w:rsidRDefault="00CB16FB" w:rsidP="006855E8">
      <w:pPr>
        <w:pStyle w:val="Heading1"/>
        <w:numPr>
          <w:ilvl w:val="0"/>
          <w:numId w:val="0"/>
        </w:numPr>
        <w:ind w:left="432" w:hanging="432"/>
      </w:pPr>
      <w:r>
        <w:t>References</w:t>
      </w:r>
    </w:p>
    <w:p w14:paraId="4C0DAFEA" w14:textId="153B5BD3" w:rsidR="003D0048" w:rsidRDefault="003D0048" w:rsidP="003D0048">
      <w:pPr>
        <w:ind w:left="432" w:hanging="432"/>
        <w:textAlignment w:val="auto"/>
      </w:pPr>
      <w:r>
        <w:t>[1]</w:t>
      </w:r>
      <w:r>
        <w:tab/>
      </w:r>
      <w:r w:rsidRPr="003D0048">
        <w:t>RP-190190</w:t>
      </w:r>
      <w:r>
        <w:t xml:space="preserve">, </w:t>
      </w:r>
      <w:r w:rsidRPr="003D0048">
        <w:rPr>
          <w:i/>
        </w:rPr>
        <w:t>New WID: Support of NR Industrial Internet of Things (IoT)</w:t>
      </w:r>
      <w:r>
        <w:t>, Nokia, Nokia Shanghai Bell</w:t>
      </w:r>
    </w:p>
    <w:p w14:paraId="519AE8C7" w14:textId="73FC1BD8" w:rsidR="007F083C" w:rsidRDefault="008D292D" w:rsidP="003D0048">
      <w:pPr>
        <w:ind w:left="426" w:hanging="426"/>
        <w:textAlignment w:val="auto"/>
        <w:rPr>
          <w:szCs w:val="18"/>
        </w:rPr>
      </w:pPr>
      <w:r>
        <w:t>[</w:t>
      </w:r>
      <w:r w:rsidR="003D0048">
        <w:t>2</w:t>
      </w:r>
      <w:r>
        <w:t>]</w:t>
      </w:r>
      <w:r w:rsidR="003D0048">
        <w:tab/>
      </w:r>
      <w:r w:rsidRPr="008D292D">
        <w:t>R2-1902372</w:t>
      </w:r>
      <w:r>
        <w:t xml:space="preserve">, </w:t>
      </w:r>
      <w:r w:rsidRPr="008D292D">
        <w:rPr>
          <w:i/>
          <w:szCs w:val="18"/>
        </w:rPr>
        <w:t xml:space="preserve">LS on </w:t>
      </w:r>
      <w:proofErr w:type="spellStart"/>
      <w:r w:rsidRPr="008D292D">
        <w:rPr>
          <w:i/>
          <w:szCs w:val="18"/>
        </w:rPr>
        <w:t>RoHC</w:t>
      </w:r>
      <w:proofErr w:type="spellEnd"/>
      <w:r w:rsidRPr="008D292D">
        <w:rPr>
          <w:i/>
          <w:szCs w:val="18"/>
        </w:rPr>
        <w:t xml:space="preserve"> utilization for Ethernet header compression</w:t>
      </w:r>
      <w:r>
        <w:rPr>
          <w:szCs w:val="18"/>
        </w:rPr>
        <w:t>, Source: RAN2</w:t>
      </w:r>
    </w:p>
    <w:p w14:paraId="3BCD8588" w14:textId="2EB1BC1F" w:rsidR="00637F04" w:rsidRPr="008D292D" w:rsidRDefault="00637F04" w:rsidP="003D0048">
      <w:pPr>
        <w:ind w:left="426" w:hanging="426"/>
        <w:textAlignment w:val="auto"/>
      </w:pPr>
      <w:r>
        <w:t>[</w:t>
      </w:r>
      <w:r w:rsidR="003D0048">
        <w:t>3</w:t>
      </w:r>
      <w:r>
        <w:t>]</w:t>
      </w:r>
      <w:r>
        <w:tab/>
      </w:r>
      <w:r w:rsidRPr="00637F04">
        <w:t>R2-1818991</w:t>
      </w:r>
      <w:r>
        <w:t xml:space="preserve">, </w:t>
      </w:r>
      <w:r w:rsidRPr="00637F04">
        <w:rPr>
          <w:i/>
        </w:rPr>
        <w:t>LS on multiple active configured grant configurations</w:t>
      </w:r>
      <w:r>
        <w:t>, Source: RAN1</w:t>
      </w: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500D1" w14:textId="77777777" w:rsidR="00243F45" w:rsidRDefault="00243F45">
      <w:r>
        <w:separator/>
      </w:r>
    </w:p>
    <w:p w14:paraId="716D1116" w14:textId="77777777" w:rsidR="00243F45" w:rsidRDefault="00243F45"/>
  </w:endnote>
  <w:endnote w:type="continuationSeparator" w:id="0">
    <w:p w14:paraId="1F2C5CD7" w14:textId="77777777" w:rsidR="00243F45" w:rsidRDefault="00243F45">
      <w:r>
        <w:continuationSeparator/>
      </w:r>
    </w:p>
    <w:p w14:paraId="03F26DFD" w14:textId="77777777" w:rsidR="00243F45" w:rsidRDefault="00243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97ACF" w14:textId="77777777" w:rsidR="00243F45" w:rsidRDefault="00243F45">
      <w:r>
        <w:separator/>
      </w:r>
    </w:p>
    <w:p w14:paraId="7AB8FAF0" w14:textId="77777777" w:rsidR="00243F45" w:rsidRDefault="00243F45"/>
  </w:footnote>
  <w:footnote w:type="continuationSeparator" w:id="0">
    <w:p w14:paraId="304FCAAB" w14:textId="77777777" w:rsidR="00243F45" w:rsidRDefault="00243F45">
      <w:r>
        <w:continuationSeparator/>
      </w:r>
    </w:p>
    <w:p w14:paraId="001ECE67" w14:textId="77777777" w:rsidR="00243F45" w:rsidRDefault="00243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2"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7"/>
  </w:num>
  <w:num w:numId="4">
    <w:abstractNumId w:val="16"/>
  </w:num>
  <w:num w:numId="5">
    <w:abstractNumId w:val="13"/>
  </w:num>
  <w:num w:numId="6">
    <w:abstractNumId w:val="0"/>
  </w:num>
  <w:num w:numId="7">
    <w:abstractNumId w:val="6"/>
  </w:num>
  <w:num w:numId="8">
    <w:abstractNumId w:val="2"/>
  </w:num>
  <w:num w:numId="9">
    <w:abstractNumId w:val="9"/>
  </w:num>
  <w:num w:numId="10">
    <w:abstractNumId w:val="14"/>
  </w:num>
  <w:num w:numId="11">
    <w:abstractNumId w:val="11"/>
  </w:num>
  <w:num w:numId="12">
    <w:abstractNumId w:val="5"/>
  </w:num>
  <w:num w:numId="13">
    <w:abstractNumId w:val="1"/>
  </w:num>
  <w:num w:numId="14">
    <w:abstractNumId w:val="12"/>
  </w:num>
  <w:num w:numId="15">
    <w:abstractNumId w:val="10"/>
  </w:num>
  <w:num w:numId="16">
    <w:abstractNumId w:val="4"/>
  </w:num>
  <w:num w:numId="17">
    <w:abstractNumId w:val="7"/>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7CA9"/>
    <w:rsid w:val="003F0566"/>
    <w:rsid w:val="003F1954"/>
    <w:rsid w:val="003F35CF"/>
    <w:rsid w:val="003F4E00"/>
    <w:rsid w:val="003F56FD"/>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93241"/>
    <w:rsid w:val="00493E44"/>
    <w:rsid w:val="00496BF6"/>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43E3"/>
    <w:rsid w:val="0050667C"/>
    <w:rsid w:val="0051128C"/>
    <w:rsid w:val="0051260E"/>
    <w:rsid w:val="00512760"/>
    <w:rsid w:val="0051290A"/>
    <w:rsid w:val="00512B3C"/>
    <w:rsid w:val="00514299"/>
    <w:rsid w:val="0051648E"/>
    <w:rsid w:val="00516691"/>
    <w:rsid w:val="005212C8"/>
    <w:rsid w:val="00521674"/>
    <w:rsid w:val="005226CF"/>
    <w:rsid w:val="005258ED"/>
    <w:rsid w:val="00526A04"/>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62D63"/>
    <w:rsid w:val="0056315E"/>
    <w:rsid w:val="005645C4"/>
    <w:rsid w:val="0057264C"/>
    <w:rsid w:val="00572A89"/>
    <w:rsid w:val="00572B28"/>
    <w:rsid w:val="00574198"/>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4670"/>
    <w:rsid w:val="006C1CCB"/>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42AA"/>
    <w:rsid w:val="00714DDF"/>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9B8"/>
    <w:rsid w:val="00777067"/>
    <w:rsid w:val="0078003F"/>
    <w:rsid w:val="0078095C"/>
    <w:rsid w:val="00781D60"/>
    <w:rsid w:val="00782AD5"/>
    <w:rsid w:val="00782E81"/>
    <w:rsid w:val="00783AE7"/>
    <w:rsid w:val="00783D89"/>
    <w:rsid w:val="00784FC5"/>
    <w:rsid w:val="007859DF"/>
    <w:rsid w:val="00786E3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83C"/>
    <w:rsid w:val="007F4ADA"/>
    <w:rsid w:val="007F6EA5"/>
    <w:rsid w:val="00800910"/>
    <w:rsid w:val="00800C28"/>
    <w:rsid w:val="00800E63"/>
    <w:rsid w:val="008018EB"/>
    <w:rsid w:val="0080281E"/>
    <w:rsid w:val="00802860"/>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1C7A"/>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29F5"/>
    <w:rsid w:val="00A14169"/>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E4C"/>
    <w:rsid w:val="00DE69B3"/>
    <w:rsid w:val="00DF04C6"/>
    <w:rsid w:val="00DF1735"/>
    <w:rsid w:val="00DF38D0"/>
    <w:rsid w:val="00DF5222"/>
    <w:rsid w:val="00DF52E8"/>
    <w:rsid w:val="00DF74C8"/>
    <w:rsid w:val="00E01B0F"/>
    <w:rsid w:val="00E02A52"/>
    <w:rsid w:val="00E037C3"/>
    <w:rsid w:val="00E0425D"/>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2A81"/>
    <w:rsid w:val="00FC44BF"/>
    <w:rsid w:val="00FC6E3D"/>
    <w:rsid w:val="00FC6F10"/>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5F8A"/>
    <w:rsid w:val="00FF63AF"/>
    <w:rsid w:val="7C42F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1517185570">
          <w:marLeft w:val="44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57556697">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B63A96EC-63DE-456F-8845-E5F91D4480C8}">
  <ds:schemaRefs>
    <ds:schemaRef ds:uri="http://schemas.microsoft.com/sharepoint/events"/>
  </ds:schemaRefs>
</ds:datastoreItem>
</file>

<file path=customXml/itemProps5.xml><?xml version="1.0" encoding="utf-8"?>
<ds:datastoreItem xmlns:ds="http://schemas.openxmlformats.org/officeDocument/2006/customXml" ds:itemID="{07BFEF19-D18E-4506-AEE2-404A3B0D2449}">
  <ds:schemaRefs>
    <ds:schemaRef ds:uri="http://purl.org/dc/terms/"/>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 ds:uri="83f22d2f-d16e-4be6-ad4f-29fa0b067c3c"/>
    <ds:schemaRef ds:uri="http://schemas.microsoft.com/office/2006/documentManagement/types"/>
    <ds:schemaRef ds:uri="3b34c8f0-1ef5-4d1e-bb66-517ce7fe7356"/>
    <ds:schemaRef ds:uri="http://schemas.openxmlformats.org/package/2006/metadata/core-properties"/>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A6566A94-0685-45C4-BA42-635DEB2FF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B84D38F-733A-4870-ACCC-ABC5F90B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Pages>
  <Words>1995</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Dawid Koziol</cp:lastModifiedBy>
  <cp:revision>25</cp:revision>
  <cp:lastPrinted>2003-09-26T18:29:00Z</cp:lastPrinted>
  <dcterms:created xsi:type="dcterms:W3CDTF">2019-03-06T08:35:00Z</dcterms:created>
  <dcterms:modified xsi:type="dcterms:W3CDTF">2019-03-11T20:57:00Z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0x01010054371E7EC0F13943B87F9D9F2BE005B3</vt:lpwstr>
  </property>
</Properties>
</file>